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CCC7" w14:textId="77777777" w:rsidR="005E44C5" w:rsidRPr="00F8615E" w:rsidRDefault="005E44C5" w:rsidP="00994FC8">
      <w:pPr>
        <w:rPr>
          <w:rFonts w:asciiTheme="minorHAnsi" w:hAnsiTheme="minorHAnsi" w:cstheme="minorHAnsi"/>
          <w:b/>
          <w:bCs/>
          <w:color w:val="E76E24"/>
          <w:sz w:val="22"/>
          <w:lang w:val="en-US"/>
        </w:rPr>
      </w:pPr>
    </w:p>
    <w:p w14:paraId="6EA006A1" w14:textId="69FF5954" w:rsidR="00994FC8" w:rsidRPr="003E3DD2" w:rsidRDefault="00994FC8" w:rsidP="00994FC8">
      <w:pPr>
        <w:rPr>
          <w:rFonts w:asciiTheme="minorHAnsi" w:hAnsiTheme="minorHAnsi" w:cstheme="minorHAnsi"/>
          <w:b/>
          <w:bCs/>
          <w:sz w:val="43"/>
          <w:szCs w:val="43"/>
        </w:rPr>
      </w:pPr>
      <w:r w:rsidRPr="003E3DD2">
        <w:rPr>
          <w:rFonts w:asciiTheme="minorHAnsi" w:hAnsiTheme="minorHAnsi" w:cstheme="minorHAnsi"/>
          <w:b/>
          <w:bCs/>
          <w:noProof/>
          <w:sz w:val="43"/>
          <w:szCs w:val="43"/>
        </w:rPr>
        <w:drawing>
          <wp:anchor distT="0" distB="0" distL="114300" distR="114300" simplePos="0" relativeHeight="251659264" behindDoc="0" locked="0" layoutInCell="1" allowOverlap="1" wp14:anchorId="44111B65" wp14:editId="5F54D75E">
            <wp:simplePos x="0" y="0"/>
            <wp:positionH relativeFrom="margin">
              <wp:posOffset>3655060</wp:posOffset>
            </wp:positionH>
            <wp:positionV relativeFrom="margin">
              <wp:posOffset>-247650</wp:posOffset>
            </wp:positionV>
            <wp:extent cx="2343150" cy="85725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A Victoria Logo.png"/>
                    <pic:cNvPicPr/>
                  </pic:nvPicPr>
                  <pic:blipFill>
                    <a:blip r:embed="rId8">
                      <a:extLst>
                        <a:ext uri="{28A0092B-C50C-407E-A947-70E740481C1C}">
                          <a14:useLocalDpi xmlns:a14="http://schemas.microsoft.com/office/drawing/2010/main" val="0"/>
                        </a:ext>
                      </a:extLst>
                    </a:blip>
                    <a:stretch>
                      <a:fillRect/>
                    </a:stretch>
                  </pic:blipFill>
                  <pic:spPr>
                    <a:xfrm>
                      <a:off x="0" y="0"/>
                      <a:ext cx="2343150" cy="857250"/>
                    </a:xfrm>
                    <a:prstGeom prst="rect">
                      <a:avLst/>
                    </a:prstGeom>
                  </pic:spPr>
                </pic:pic>
              </a:graphicData>
            </a:graphic>
          </wp:anchor>
        </w:drawing>
      </w:r>
      <w:r w:rsidRPr="003E3DD2">
        <w:rPr>
          <w:rFonts w:asciiTheme="minorHAnsi" w:hAnsiTheme="minorHAnsi" w:cstheme="minorHAnsi"/>
          <w:b/>
          <w:bCs/>
          <w:color w:val="E76E24"/>
          <w:sz w:val="43"/>
          <w:szCs w:val="43"/>
          <w:lang w:val="en-US"/>
        </w:rPr>
        <w:t>COTA Victoria Policy Position</w:t>
      </w:r>
    </w:p>
    <w:p w14:paraId="0C2B38F7" w14:textId="047DE368" w:rsidR="00994FC8" w:rsidRPr="003E3DD2" w:rsidRDefault="00994FC8" w:rsidP="00994FC8">
      <w:pPr>
        <w:spacing w:before="120" w:after="120"/>
        <w:rPr>
          <w:rFonts w:asciiTheme="minorHAnsi" w:hAnsiTheme="minorHAnsi" w:cstheme="minorHAnsi"/>
          <w:b/>
          <w:bCs/>
          <w:sz w:val="28"/>
          <w:szCs w:val="28"/>
          <w:lang w:val="en-US"/>
        </w:rPr>
      </w:pPr>
      <w:r w:rsidRPr="003E3DD2">
        <w:rPr>
          <w:rFonts w:asciiTheme="minorHAnsi" w:hAnsiTheme="minorHAnsi" w:cstheme="minorHAnsi"/>
          <w:b/>
          <w:bCs/>
          <w:color w:val="46555F"/>
          <w:sz w:val="28"/>
          <w:szCs w:val="28"/>
          <w:lang w:val="en-US"/>
        </w:rPr>
        <w:t>Issue:</w:t>
      </w:r>
      <w:r w:rsidR="00347D86" w:rsidRPr="003E3DD2">
        <w:rPr>
          <w:rFonts w:asciiTheme="minorHAnsi" w:hAnsiTheme="minorHAnsi" w:cstheme="minorHAnsi"/>
          <w:b/>
          <w:bCs/>
          <w:color w:val="46555F"/>
          <w:sz w:val="28"/>
          <w:szCs w:val="28"/>
          <w:lang w:val="en-US"/>
        </w:rPr>
        <w:t xml:space="preserve"> </w:t>
      </w:r>
      <w:r w:rsidR="00780087" w:rsidRPr="003E3DD2">
        <w:rPr>
          <w:rFonts w:asciiTheme="minorHAnsi" w:hAnsiTheme="minorHAnsi" w:cstheme="minorHAnsi"/>
          <w:b/>
          <w:bCs/>
          <w:color w:val="46555F"/>
          <w:sz w:val="28"/>
          <w:szCs w:val="28"/>
          <w:lang w:val="en-US"/>
        </w:rPr>
        <w:t xml:space="preserve">State </w:t>
      </w:r>
      <w:r w:rsidR="00347D86" w:rsidRPr="003E3DD2">
        <w:rPr>
          <w:rFonts w:asciiTheme="minorHAnsi" w:hAnsiTheme="minorHAnsi" w:cstheme="minorHAnsi"/>
          <w:b/>
          <w:bCs/>
          <w:color w:val="46555F"/>
          <w:sz w:val="28"/>
          <w:szCs w:val="28"/>
          <w:lang w:val="en-US"/>
        </w:rPr>
        <w:t xml:space="preserve">Government’s </w:t>
      </w:r>
      <w:r w:rsidR="00017E0D" w:rsidRPr="003E3DD2">
        <w:rPr>
          <w:rFonts w:asciiTheme="minorHAnsi" w:hAnsiTheme="minorHAnsi" w:cstheme="minorHAnsi"/>
          <w:b/>
          <w:bCs/>
          <w:color w:val="46555F"/>
          <w:sz w:val="28"/>
          <w:szCs w:val="28"/>
          <w:lang w:val="en-US"/>
        </w:rPr>
        <w:t xml:space="preserve">role </w:t>
      </w:r>
      <w:r w:rsidR="00054504" w:rsidRPr="003E3DD2">
        <w:rPr>
          <w:rFonts w:asciiTheme="minorHAnsi" w:hAnsiTheme="minorHAnsi" w:cstheme="minorHAnsi"/>
          <w:b/>
          <w:bCs/>
          <w:color w:val="46555F"/>
          <w:sz w:val="28"/>
          <w:szCs w:val="28"/>
          <w:lang w:val="en-US"/>
        </w:rPr>
        <w:t xml:space="preserve">in providing care and support to </w:t>
      </w:r>
      <w:r w:rsidR="00780087" w:rsidRPr="003E3DD2">
        <w:rPr>
          <w:rFonts w:asciiTheme="minorHAnsi" w:hAnsiTheme="minorHAnsi" w:cstheme="minorHAnsi"/>
          <w:b/>
          <w:bCs/>
          <w:color w:val="46555F"/>
          <w:sz w:val="28"/>
          <w:szCs w:val="28"/>
          <w:lang w:val="en-US"/>
        </w:rPr>
        <w:t>ageing Victorians</w:t>
      </w:r>
    </w:p>
    <w:p w14:paraId="7135138D" w14:textId="77777777" w:rsidR="00994FC8" w:rsidRPr="003E3DD2" w:rsidRDefault="00994FC8" w:rsidP="00994FC8">
      <w:pPr>
        <w:spacing w:before="120" w:after="120"/>
        <w:rPr>
          <w:rFonts w:asciiTheme="minorHAnsi" w:hAnsiTheme="minorHAnsi" w:cstheme="minorHAnsi"/>
          <w:b/>
          <w:bCs/>
          <w:szCs w:val="24"/>
          <w:lang w:val="en-US"/>
        </w:rPr>
      </w:pPr>
    </w:p>
    <w:p w14:paraId="1C3BEE6D" w14:textId="5466AEF6" w:rsidR="00994FC8" w:rsidRPr="003E3DD2" w:rsidRDefault="00994FC8" w:rsidP="00994FC8">
      <w:pPr>
        <w:spacing w:before="120" w:after="120"/>
        <w:rPr>
          <w:rFonts w:asciiTheme="minorHAnsi" w:hAnsiTheme="minorHAnsi" w:cstheme="minorHAnsi"/>
          <w:szCs w:val="24"/>
          <w:lang w:val="en-US"/>
        </w:rPr>
      </w:pPr>
      <w:r w:rsidRPr="003E3DD2">
        <w:rPr>
          <w:rFonts w:asciiTheme="minorHAnsi" w:hAnsiTheme="minorHAnsi" w:cstheme="minorHAnsi"/>
          <w:szCs w:val="24"/>
          <w:lang w:val="en-US"/>
        </w:rPr>
        <w:t>Adopted:</w:t>
      </w:r>
      <w:r w:rsidR="00F64E11">
        <w:rPr>
          <w:rFonts w:asciiTheme="minorHAnsi" w:hAnsiTheme="minorHAnsi" w:cstheme="minorHAnsi"/>
          <w:szCs w:val="24"/>
          <w:lang w:val="en-US"/>
        </w:rPr>
        <w:t xml:space="preserve"> December 2021</w:t>
      </w:r>
      <w:r w:rsidRPr="003E3DD2">
        <w:rPr>
          <w:rFonts w:asciiTheme="minorHAnsi" w:hAnsiTheme="minorHAnsi" w:cstheme="minorHAnsi"/>
          <w:szCs w:val="24"/>
          <w:lang w:val="en-US"/>
        </w:rPr>
        <w:t xml:space="preserve"> </w:t>
      </w:r>
    </w:p>
    <w:p w14:paraId="42369C25" w14:textId="4206D7E5" w:rsidR="00994FC8" w:rsidRPr="003E3DD2" w:rsidRDefault="00994FC8" w:rsidP="00994FC8">
      <w:pPr>
        <w:spacing w:before="120" w:after="120"/>
        <w:rPr>
          <w:rFonts w:asciiTheme="minorHAnsi" w:hAnsiTheme="minorHAnsi" w:cstheme="minorHAnsi"/>
          <w:szCs w:val="24"/>
          <w:lang w:val="en-US"/>
        </w:rPr>
      </w:pPr>
      <w:r w:rsidRPr="003E3DD2">
        <w:rPr>
          <w:rFonts w:asciiTheme="minorHAnsi" w:hAnsiTheme="minorHAnsi" w:cstheme="minorHAnsi"/>
          <w:szCs w:val="24"/>
          <w:lang w:val="en-US"/>
        </w:rPr>
        <w:t>Review date:</w:t>
      </w:r>
      <w:r w:rsidR="00F64E11">
        <w:rPr>
          <w:rFonts w:asciiTheme="minorHAnsi" w:hAnsiTheme="minorHAnsi" w:cstheme="minorHAnsi"/>
          <w:szCs w:val="24"/>
          <w:lang w:val="en-US"/>
        </w:rPr>
        <w:t xml:space="preserve"> December 2023 or as required</w:t>
      </w:r>
      <w:r w:rsidRPr="003E3DD2">
        <w:rPr>
          <w:rFonts w:asciiTheme="minorHAnsi" w:hAnsiTheme="minorHAnsi" w:cstheme="minorHAnsi"/>
          <w:szCs w:val="24"/>
          <w:lang w:val="en-US"/>
        </w:rPr>
        <w:t xml:space="preserve"> </w:t>
      </w:r>
    </w:p>
    <w:p w14:paraId="49E44C87" w14:textId="77777777" w:rsidR="00F24232" w:rsidRPr="003E3DD2" w:rsidRDefault="00F24232">
      <w:pPr>
        <w:rPr>
          <w:rFonts w:asciiTheme="minorHAnsi" w:hAnsiTheme="minorHAnsi" w:cstheme="minorHAnsi"/>
          <w:b/>
          <w:bCs/>
          <w:szCs w:val="24"/>
        </w:rPr>
      </w:pPr>
    </w:p>
    <w:p w14:paraId="44A8F540" w14:textId="5FE4B72A" w:rsidR="00CE60EF" w:rsidRPr="003E3DD2" w:rsidRDefault="00CE60EF" w:rsidP="003D2091">
      <w:pPr>
        <w:pStyle w:val="Heading1"/>
        <w:pBdr>
          <w:bottom w:val="single" w:sz="2" w:space="1" w:color="46555F"/>
        </w:pBdr>
        <w:spacing w:before="120" w:after="120" w:line="240" w:lineRule="auto"/>
        <w:ind w:left="720" w:hanging="720"/>
        <w:contextualSpacing/>
        <w:rPr>
          <w:rFonts w:asciiTheme="minorHAnsi" w:eastAsiaTheme="minorHAnsi" w:hAnsiTheme="minorHAnsi" w:cstheme="minorHAnsi"/>
          <w:b/>
          <w:bCs/>
          <w:color w:val="E76E24"/>
          <w:sz w:val="28"/>
          <w:szCs w:val="28"/>
          <w:lang w:val="en-US"/>
        </w:rPr>
      </w:pPr>
      <w:r w:rsidRPr="003E3DD2">
        <w:rPr>
          <w:rFonts w:asciiTheme="minorHAnsi" w:eastAsiaTheme="minorHAnsi" w:hAnsiTheme="minorHAnsi" w:cstheme="minorHAnsi"/>
          <w:b/>
          <w:bCs/>
          <w:color w:val="E76E24"/>
          <w:sz w:val="28"/>
          <w:szCs w:val="28"/>
          <w:lang w:val="en-US"/>
        </w:rPr>
        <w:t xml:space="preserve">Policy </w:t>
      </w:r>
      <w:r w:rsidR="003D2091" w:rsidRPr="003E3DD2">
        <w:rPr>
          <w:rFonts w:asciiTheme="minorHAnsi" w:eastAsiaTheme="minorHAnsi" w:hAnsiTheme="minorHAnsi" w:cstheme="minorHAnsi"/>
          <w:b/>
          <w:bCs/>
          <w:color w:val="E76E24"/>
          <w:sz w:val="28"/>
          <w:szCs w:val="28"/>
          <w:lang w:val="en-US"/>
        </w:rPr>
        <w:t>p</w:t>
      </w:r>
      <w:r w:rsidRPr="003E3DD2">
        <w:rPr>
          <w:rFonts w:asciiTheme="minorHAnsi" w:eastAsiaTheme="minorHAnsi" w:hAnsiTheme="minorHAnsi" w:cstheme="minorHAnsi"/>
          <w:b/>
          <w:bCs/>
          <w:color w:val="E76E24"/>
          <w:sz w:val="28"/>
          <w:szCs w:val="28"/>
          <w:lang w:val="en-US"/>
        </w:rPr>
        <w:t>rinciples</w:t>
      </w:r>
      <w:r w:rsidR="003D2091" w:rsidRPr="003E3DD2">
        <w:rPr>
          <w:rFonts w:asciiTheme="minorHAnsi" w:eastAsiaTheme="minorHAnsi" w:hAnsiTheme="minorHAnsi" w:cstheme="minorHAnsi"/>
          <w:b/>
          <w:bCs/>
          <w:color w:val="E76E24"/>
          <w:sz w:val="28"/>
          <w:szCs w:val="28"/>
          <w:lang w:val="en-US"/>
        </w:rPr>
        <w:t>:</w:t>
      </w:r>
    </w:p>
    <w:p w14:paraId="6891D9EC" w14:textId="799A636E" w:rsidR="00C87708" w:rsidRPr="003E3DD2" w:rsidRDefault="00BE4E2B" w:rsidP="0084791A">
      <w:pPr>
        <w:rPr>
          <w:rFonts w:asciiTheme="minorHAnsi" w:hAnsiTheme="minorHAnsi" w:cstheme="minorHAnsi"/>
          <w:szCs w:val="24"/>
          <w:lang w:val="en-US"/>
        </w:rPr>
      </w:pPr>
      <w:r w:rsidRPr="003E3DD2">
        <w:rPr>
          <w:rFonts w:asciiTheme="minorHAnsi" w:hAnsiTheme="minorHAnsi" w:cstheme="minorHAnsi"/>
          <w:szCs w:val="24"/>
          <w:lang w:val="en-US"/>
        </w:rPr>
        <w:t xml:space="preserve">The </w:t>
      </w:r>
      <w:r w:rsidRPr="003E3DD2">
        <w:rPr>
          <w:rFonts w:asciiTheme="minorHAnsi" w:hAnsiTheme="minorHAnsi" w:cstheme="minorHAnsi"/>
          <w:i/>
          <w:iCs/>
          <w:szCs w:val="24"/>
          <w:lang w:val="en-US"/>
        </w:rPr>
        <w:t>Victorian Charter o</w:t>
      </w:r>
      <w:r w:rsidR="00624F31" w:rsidRPr="003E3DD2">
        <w:rPr>
          <w:rFonts w:asciiTheme="minorHAnsi" w:hAnsiTheme="minorHAnsi" w:cstheme="minorHAnsi"/>
          <w:i/>
          <w:iCs/>
          <w:szCs w:val="24"/>
          <w:lang w:val="en-US"/>
        </w:rPr>
        <w:t>f Human Rights and Responsibilitie</w:t>
      </w:r>
      <w:r w:rsidR="00BC4ABE" w:rsidRPr="003E3DD2">
        <w:rPr>
          <w:rFonts w:asciiTheme="minorHAnsi" w:hAnsiTheme="minorHAnsi" w:cstheme="minorHAnsi"/>
          <w:i/>
          <w:iCs/>
          <w:szCs w:val="24"/>
          <w:lang w:val="en-US"/>
        </w:rPr>
        <w:t>s</w:t>
      </w:r>
      <w:r w:rsidR="00BC4ABE" w:rsidRPr="003E3DD2">
        <w:rPr>
          <w:rFonts w:asciiTheme="minorHAnsi" w:hAnsiTheme="minorHAnsi" w:cstheme="minorHAnsi"/>
          <w:szCs w:val="24"/>
          <w:lang w:val="en-US"/>
        </w:rPr>
        <w:t xml:space="preserve"> establishes the right of all Victorians to be treated with freedom, respect, equality and dignity</w:t>
      </w:r>
      <w:r w:rsidR="00C51BF9" w:rsidRPr="003E3DD2">
        <w:rPr>
          <w:rFonts w:asciiTheme="minorHAnsi" w:hAnsiTheme="minorHAnsi" w:cstheme="minorHAnsi"/>
          <w:szCs w:val="24"/>
          <w:lang w:val="en-US"/>
        </w:rPr>
        <w:t>.</w:t>
      </w:r>
      <w:r w:rsidR="00753E37" w:rsidRPr="003E3DD2">
        <w:rPr>
          <w:rStyle w:val="EndnoteReference"/>
          <w:rFonts w:asciiTheme="minorHAnsi" w:hAnsiTheme="minorHAnsi" w:cstheme="minorHAnsi"/>
          <w:szCs w:val="24"/>
          <w:lang w:val="en-US"/>
        </w:rPr>
        <w:endnoteReference w:id="1"/>
      </w:r>
      <w:r w:rsidR="00C51BF9" w:rsidRPr="003E3DD2">
        <w:rPr>
          <w:rFonts w:asciiTheme="minorHAnsi" w:hAnsiTheme="minorHAnsi" w:cstheme="minorHAnsi"/>
          <w:szCs w:val="24"/>
          <w:lang w:val="en-US"/>
        </w:rPr>
        <w:t xml:space="preserve"> </w:t>
      </w:r>
      <w:r w:rsidR="00F30AB3">
        <w:rPr>
          <w:rFonts w:asciiTheme="minorHAnsi" w:hAnsiTheme="minorHAnsi" w:cstheme="minorHAnsi"/>
          <w:szCs w:val="24"/>
          <w:lang w:val="en-US"/>
        </w:rPr>
        <w:t xml:space="preserve"> </w:t>
      </w:r>
      <w:r w:rsidR="0085445E" w:rsidRPr="003E3DD2">
        <w:rPr>
          <w:rFonts w:asciiTheme="minorHAnsi" w:hAnsiTheme="minorHAnsi" w:cstheme="minorHAnsi"/>
          <w:szCs w:val="24"/>
          <w:lang w:val="en-US"/>
        </w:rPr>
        <w:t xml:space="preserve">These principles must be extended to all older Victorians to ensure they are adequately supported as they age. </w:t>
      </w:r>
      <w:r w:rsidR="0084791A" w:rsidRPr="003E3DD2">
        <w:rPr>
          <w:rFonts w:asciiTheme="minorHAnsi" w:hAnsiTheme="minorHAnsi" w:cstheme="minorHAnsi"/>
          <w:szCs w:val="24"/>
          <w:lang w:val="en-US"/>
        </w:rPr>
        <w:t>Care and support of older Victorian</w:t>
      </w:r>
      <w:r w:rsidR="0085445E" w:rsidRPr="003E3DD2">
        <w:rPr>
          <w:rFonts w:asciiTheme="minorHAnsi" w:hAnsiTheme="minorHAnsi" w:cstheme="minorHAnsi"/>
          <w:szCs w:val="24"/>
          <w:lang w:val="en-US"/>
        </w:rPr>
        <w:t>s has</w:t>
      </w:r>
      <w:r w:rsidR="0084791A" w:rsidRPr="003E3DD2">
        <w:rPr>
          <w:rFonts w:asciiTheme="minorHAnsi" w:hAnsiTheme="minorHAnsi" w:cstheme="minorHAnsi"/>
          <w:szCs w:val="24"/>
          <w:lang w:val="en-US"/>
        </w:rPr>
        <w:t xml:space="preserve"> to be seen as broader than the provision of in home and residential care. </w:t>
      </w:r>
      <w:r w:rsidR="0085445E" w:rsidRPr="003E3DD2">
        <w:rPr>
          <w:rFonts w:asciiTheme="minorHAnsi" w:hAnsiTheme="minorHAnsi" w:cstheme="minorHAnsi"/>
          <w:szCs w:val="24"/>
          <w:lang w:val="en-US"/>
        </w:rPr>
        <w:t>This is because o</w:t>
      </w:r>
      <w:r w:rsidR="0084791A" w:rsidRPr="003E3DD2">
        <w:rPr>
          <w:rFonts w:asciiTheme="minorHAnsi" w:hAnsiTheme="minorHAnsi" w:cstheme="minorHAnsi"/>
          <w:szCs w:val="24"/>
          <w:lang w:val="en-US"/>
        </w:rPr>
        <w:t xml:space="preserve">lder people rely on an integrated network of services to assist them to age well. </w:t>
      </w:r>
      <w:r w:rsidR="00C51BF9" w:rsidRPr="003E3DD2">
        <w:rPr>
          <w:rFonts w:asciiTheme="minorHAnsi" w:hAnsiTheme="minorHAnsi" w:cstheme="minorHAnsi"/>
          <w:szCs w:val="24"/>
          <w:lang w:val="en-US"/>
        </w:rPr>
        <w:t xml:space="preserve">To this end, </w:t>
      </w:r>
      <w:r w:rsidR="00C87708" w:rsidRPr="003E3DD2">
        <w:rPr>
          <w:rFonts w:asciiTheme="minorHAnsi" w:hAnsiTheme="minorHAnsi" w:cstheme="minorHAnsi"/>
          <w:szCs w:val="24"/>
          <w:lang w:val="en-US"/>
        </w:rPr>
        <w:t>all older Victorians must:</w:t>
      </w:r>
    </w:p>
    <w:p w14:paraId="37B7039F" w14:textId="0BEA8111" w:rsidR="00C87708" w:rsidRPr="003E3DD2" w:rsidRDefault="00C87708" w:rsidP="009F725B">
      <w:pPr>
        <w:pStyle w:val="ListParagraph"/>
        <w:numPr>
          <w:ilvl w:val="0"/>
          <w:numId w:val="6"/>
        </w:numPr>
        <w:rPr>
          <w:rFonts w:asciiTheme="minorHAnsi" w:hAnsiTheme="minorHAnsi" w:cstheme="minorHAnsi"/>
          <w:szCs w:val="24"/>
        </w:rPr>
      </w:pPr>
      <w:r w:rsidRPr="003E3DD2">
        <w:rPr>
          <w:rFonts w:asciiTheme="minorHAnsi" w:hAnsiTheme="minorHAnsi" w:cstheme="minorHAnsi"/>
          <w:szCs w:val="24"/>
        </w:rPr>
        <w:t xml:space="preserve">Be </w:t>
      </w:r>
      <w:r w:rsidR="000E2A9D" w:rsidRPr="003E3DD2">
        <w:rPr>
          <w:rFonts w:asciiTheme="minorHAnsi" w:hAnsiTheme="minorHAnsi" w:cstheme="minorHAnsi"/>
          <w:szCs w:val="24"/>
        </w:rPr>
        <w:t xml:space="preserve">actively consulted in the development of all policies and programs that may affect </w:t>
      </w:r>
      <w:r w:rsidRPr="003E3DD2">
        <w:rPr>
          <w:rFonts w:asciiTheme="minorHAnsi" w:hAnsiTheme="minorHAnsi" w:cstheme="minorHAnsi"/>
          <w:szCs w:val="24"/>
        </w:rPr>
        <w:t>them</w:t>
      </w:r>
      <w:r w:rsidR="009F725B" w:rsidRPr="003E3DD2">
        <w:rPr>
          <w:rFonts w:asciiTheme="minorHAnsi" w:hAnsiTheme="minorHAnsi" w:cstheme="minorHAnsi"/>
          <w:szCs w:val="24"/>
        </w:rPr>
        <w:t>.</w:t>
      </w:r>
    </w:p>
    <w:p w14:paraId="24977A0C" w14:textId="232E8249" w:rsidR="000E2A9D" w:rsidRPr="003E3DD2" w:rsidRDefault="00C87708" w:rsidP="009F725B">
      <w:pPr>
        <w:pStyle w:val="ListParagraph"/>
        <w:numPr>
          <w:ilvl w:val="0"/>
          <w:numId w:val="6"/>
        </w:numPr>
        <w:rPr>
          <w:rFonts w:asciiTheme="minorHAnsi" w:hAnsiTheme="minorHAnsi" w:cstheme="minorHAnsi"/>
          <w:szCs w:val="24"/>
        </w:rPr>
      </w:pPr>
      <w:r w:rsidRPr="003E3DD2">
        <w:rPr>
          <w:rFonts w:asciiTheme="minorHAnsi" w:hAnsiTheme="minorHAnsi" w:cstheme="minorHAnsi"/>
          <w:szCs w:val="24"/>
        </w:rPr>
        <w:t>H</w:t>
      </w:r>
      <w:r w:rsidR="00D371F1" w:rsidRPr="003E3DD2">
        <w:rPr>
          <w:rFonts w:asciiTheme="minorHAnsi" w:hAnsiTheme="minorHAnsi" w:cstheme="minorHAnsi"/>
          <w:szCs w:val="24"/>
        </w:rPr>
        <w:t xml:space="preserve">ave </w:t>
      </w:r>
      <w:r w:rsidR="000E2A9D" w:rsidRPr="003E3DD2">
        <w:rPr>
          <w:rFonts w:asciiTheme="minorHAnsi" w:hAnsiTheme="minorHAnsi" w:cstheme="minorHAnsi"/>
          <w:szCs w:val="24"/>
        </w:rPr>
        <w:t xml:space="preserve">access </w:t>
      </w:r>
      <w:r w:rsidR="00D371F1" w:rsidRPr="003E3DD2">
        <w:rPr>
          <w:rFonts w:asciiTheme="minorHAnsi" w:hAnsiTheme="minorHAnsi" w:cstheme="minorHAnsi"/>
          <w:szCs w:val="24"/>
        </w:rPr>
        <w:t xml:space="preserve">to </w:t>
      </w:r>
      <w:r w:rsidR="000E2A9D" w:rsidRPr="003E3DD2">
        <w:rPr>
          <w:rFonts w:asciiTheme="minorHAnsi" w:hAnsiTheme="minorHAnsi" w:cstheme="minorHAnsi"/>
          <w:szCs w:val="24"/>
        </w:rPr>
        <w:t xml:space="preserve">a broad range of </w:t>
      </w:r>
      <w:r w:rsidR="006D5299" w:rsidRPr="003E3DD2">
        <w:rPr>
          <w:rFonts w:asciiTheme="minorHAnsi" w:hAnsiTheme="minorHAnsi" w:cstheme="minorHAnsi"/>
          <w:szCs w:val="24"/>
        </w:rPr>
        <w:t xml:space="preserve">integrated </w:t>
      </w:r>
      <w:r w:rsidR="000E2A9D" w:rsidRPr="003E3DD2">
        <w:rPr>
          <w:rFonts w:asciiTheme="minorHAnsi" w:hAnsiTheme="minorHAnsi" w:cstheme="minorHAnsi"/>
          <w:szCs w:val="24"/>
        </w:rPr>
        <w:t xml:space="preserve">services </w:t>
      </w:r>
      <w:r w:rsidR="006D5299" w:rsidRPr="003E3DD2">
        <w:rPr>
          <w:rFonts w:asciiTheme="minorHAnsi" w:hAnsiTheme="minorHAnsi" w:cstheme="minorHAnsi"/>
          <w:szCs w:val="24"/>
        </w:rPr>
        <w:t xml:space="preserve">and supports </w:t>
      </w:r>
      <w:r w:rsidR="000E2A9D" w:rsidRPr="003E3DD2">
        <w:rPr>
          <w:rFonts w:asciiTheme="minorHAnsi" w:hAnsiTheme="minorHAnsi" w:cstheme="minorHAnsi"/>
          <w:szCs w:val="24"/>
        </w:rPr>
        <w:t>to enable them to:</w:t>
      </w:r>
    </w:p>
    <w:p w14:paraId="6231D162" w14:textId="083FD64A" w:rsidR="000E2A9D" w:rsidRPr="003E3DD2" w:rsidRDefault="000E2A9D" w:rsidP="007B20D6">
      <w:pPr>
        <w:pStyle w:val="ListParagraph"/>
        <w:numPr>
          <w:ilvl w:val="1"/>
          <w:numId w:val="27"/>
        </w:numPr>
        <w:ind w:left="1077" w:hanging="357"/>
        <w:rPr>
          <w:rFonts w:asciiTheme="minorHAnsi" w:hAnsiTheme="minorHAnsi" w:cstheme="minorHAnsi"/>
          <w:szCs w:val="24"/>
        </w:rPr>
      </w:pPr>
      <w:r w:rsidRPr="003E3DD2">
        <w:rPr>
          <w:rFonts w:asciiTheme="minorHAnsi" w:hAnsiTheme="minorHAnsi" w:cstheme="minorHAnsi"/>
          <w:szCs w:val="24"/>
        </w:rPr>
        <w:t>Maintain their health and wellbeing as they ag</w:t>
      </w:r>
      <w:r w:rsidR="00230BE6" w:rsidRPr="003E3DD2">
        <w:rPr>
          <w:rFonts w:asciiTheme="minorHAnsi" w:hAnsiTheme="minorHAnsi" w:cstheme="minorHAnsi"/>
          <w:szCs w:val="24"/>
        </w:rPr>
        <w:t>e;</w:t>
      </w:r>
    </w:p>
    <w:p w14:paraId="2C3A9131" w14:textId="7C62B2FB" w:rsidR="000E2A9D" w:rsidRPr="003E3DD2" w:rsidRDefault="000E2A9D" w:rsidP="007B20D6">
      <w:pPr>
        <w:pStyle w:val="ListParagraph"/>
        <w:numPr>
          <w:ilvl w:val="1"/>
          <w:numId w:val="27"/>
        </w:numPr>
        <w:ind w:left="1077" w:hanging="357"/>
        <w:rPr>
          <w:rFonts w:asciiTheme="minorHAnsi" w:hAnsiTheme="minorHAnsi" w:cstheme="minorHAnsi"/>
          <w:szCs w:val="24"/>
        </w:rPr>
      </w:pPr>
      <w:r w:rsidRPr="003E3DD2">
        <w:rPr>
          <w:rFonts w:asciiTheme="minorHAnsi" w:hAnsiTheme="minorHAnsi" w:cstheme="minorHAnsi"/>
          <w:szCs w:val="24"/>
        </w:rPr>
        <w:t>Remain living in their own homes for as long as possible</w:t>
      </w:r>
      <w:r w:rsidR="00230BE6" w:rsidRPr="003E3DD2">
        <w:rPr>
          <w:rFonts w:asciiTheme="minorHAnsi" w:hAnsiTheme="minorHAnsi" w:cstheme="minorHAnsi"/>
          <w:szCs w:val="24"/>
        </w:rPr>
        <w:t>;</w:t>
      </w:r>
    </w:p>
    <w:p w14:paraId="717950C0" w14:textId="44AFD622" w:rsidR="00230BE6" w:rsidRDefault="00230BE6" w:rsidP="007B20D6">
      <w:pPr>
        <w:pStyle w:val="ListParagraph"/>
        <w:numPr>
          <w:ilvl w:val="1"/>
          <w:numId w:val="27"/>
        </w:numPr>
        <w:ind w:left="1077" w:hanging="357"/>
        <w:rPr>
          <w:rFonts w:asciiTheme="minorHAnsi" w:hAnsiTheme="minorHAnsi" w:cstheme="minorHAnsi"/>
          <w:szCs w:val="24"/>
        </w:rPr>
      </w:pPr>
      <w:r w:rsidRPr="003E3DD2">
        <w:rPr>
          <w:rFonts w:asciiTheme="minorHAnsi" w:hAnsiTheme="minorHAnsi" w:cstheme="minorHAnsi"/>
          <w:szCs w:val="24"/>
        </w:rPr>
        <w:t xml:space="preserve">Maintain their </w:t>
      </w:r>
      <w:r w:rsidR="00E15CE2" w:rsidRPr="003E3DD2">
        <w:rPr>
          <w:rFonts w:asciiTheme="minorHAnsi" w:hAnsiTheme="minorHAnsi" w:cstheme="minorHAnsi"/>
          <w:szCs w:val="24"/>
        </w:rPr>
        <w:t>wellbeing and</w:t>
      </w:r>
      <w:r w:rsidR="00A826E8" w:rsidRPr="003E3DD2">
        <w:rPr>
          <w:rFonts w:asciiTheme="minorHAnsi" w:hAnsiTheme="minorHAnsi" w:cstheme="minorHAnsi"/>
          <w:szCs w:val="24"/>
        </w:rPr>
        <w:t xml:space="preserve"> </w:t>
      </w:r>
      <w:r w:rsidRPr="003E3DD2">
        <w:rPr>
          <w:rFonts w:asciiTheme="minorHAnsi" w:hAnsiTheme="minorHAnsi" w:cstheme="minorHAnsi"/>
          <w:szCs w:val="24"/>
        </w:rPr>
        <w:t xml:space="preserve">connection </w:t>
      </w:r>
      <w:r w:rsidR="00DA0265" w:rsidRPr="003E3DD2">
        <w:rPr>
          <w:rFonts w:asciiTheme="minorHAnsi" w:hAnsiTheme="minorHAnsi" w:cstheme="minorHAnsi"/>
          <w:szCs w:val="24"/>
        </w:rPr>
        <w:t>to the</w:t>
      </w:r>
      <w:r w:rsidR="005B02B9" w:rsidRPr="003E3DD2">
        <w:rPr>
          <w:rFonts w:asciiTheme="minorHAnsi" w:hAnsiTheme="minorHAnsi" w:cstheme="minorHAnsi"/>
          <w:szCs w:val="24"/>
        </w:rPr>
        <w:t>ir</w:t>
      </w:r>
      <w:r w:rsidR="00DA0265" w:rsidRPr="003E3DD2">
        <w:rPr>
          <w:rFonts w:asciiTheme="minorHAnsi" w:hAnsiTheme="minorHAnsi" w:cstheme="minorHAnsi"/>
          <w:szCs w:val="24"/>
        </w:rPr>
        <w:t xml:space="preserve"> community </w:t>
      </w:r>
      <w:r w:rsidRPr="003E3DD2">
        <w:rPr>
          <w:rFonts w:asciiTheme="minorHAnsi" w:hAnsiTheme="minorHAnsi" w:cstheme="minorHAnsi"/>
          <w:szCs w:val="24"/>
        </w:rPr>
        <w:t>if and when they enter residential aged care</w:t>
      </w:r>
      <w:r w:rsidR="00570536">
        <w:rPr>
          <w:rFonts w:asciiTheme="minorHAnsi" w:hAnsiTheme="minorHAnsi" w:cstheme="minorHAnsi"/>
          <w:szCs w:val="24"/>
        </w:rPr>
        <w:t>;</w:t>
      </w:r>
    </w:p>
    <w:p w14:paraId="5CBF190A" w14:textId="15FBD201" w:rsidR="004430E6" w:rsidRDefault="004430E6" w:rsidP="007B20D6">
      <w:pPr>
        <w:pStyle w:val="ListParagraph"/>
        <w:numPr>
          <w:ilvl w:val="1"/>
          <w:numId w:val="27"/>
        </w:numPr>
        <w:ind w:left="1077" w:hanging="357"/>
        <w:rPr>
          <w:rFonts w:asciiTheme="minorHAnsi" w:hAnsiTheme="minorHAnsi" w:cstheme="minorHAnsi"/>
          <w:szCs w:val="24"/>
        </w:rPr>
      </w:pPr>
      <w:r>
        <w:rPr>
          <w:rFonts w:asciiTheme="minorHAnsi" w:hAnsiTheme="minorHAnsi" w:cstheme="minorHAnsi"/>
          <w:szCs w:val="24"/>
        </w:rPr>
        <w:t>Be free from violence, abuse or neglect.</w:t>
      </w:r>
    </w:p>
    <w:p w14:paraId="2109BEE6" w14:textId="77777777" w:rsidR="00140E2C" w:rsidRPr="003E3DD2" w:rsidRDefault="00140E2C" w:rsidP="00140E2C">
      <w:pPr>
        <w:pStyle w:val="ListParagraph"/>
        <w:rPr>
          <w:rFonts w:asciiTheme="minorHAnsi" w:hAnsiTheme="minorHAnsi" w:cstheme="minorHAnsi"/>
          <w:szCs w:val="24"/>
        </w:rPr>
      </w:pPr>
    </w:p>
    <w:p w14:paraId="52BEB75F" w14:textId="6D41D612" w:rsidR="00CE60EF" w:rsidRPr="003E3DD2" w:rsidRDefault="00CE60EF" w:rsidP="003D2091">
      <w:pPr>
        <w:pStyle w:val="Heading1"/>
        <w:pBdr>
          <w:bottom w:val="single" w:sz="2" w:space="1" w:color="46555F"/>
        </w:pBdr>
        <w:spacing w:before="120" w:after="120" w:line="240" w:lineRule="auto"/>
        <w:ind w:left="720" w:hanging="720"/>
        <w:contextualSpacing/>
        <w:rPr>
          <w:rFonts w:asciiTheme="minorHAnsi" w:eastAsiaTheme="minorHAnsi" w:hAnsiTheme="minorHAnsi" w:cstheme="minorHAnsi"/>
          <w:b/>
          <w:bCs/>
          <w:color w:val="E76E24"/>
          <w:sz w:val="28"/>
          <w:szCs w:val="28"/>
          <w:lang w:val="en-US"/>
        </w:rPr>
      </w:pPr>
      <w:r w:rsidRPr="003E3DD2">
        <w:rPr>
          <w:rFonts w:asciiTheme="minorHAnsi" w:eastAsiaTheme="minorHAnsi" w:hAnsiTheme="minorHAnsi" w:cstheme="minorHAnsi"/>
          <w:b/>
          <w:bCs/>
          <w:color w:val="E76E24"/>
          <w:sz w:val="28"/>
          <w:szCs w:val="28"/>
          <w:lang w:val="en-US"/>
        </w:rPr>
        <w:t>Rationale for COTA Victoria’s positio</w:t>
      </w:r>
      <w:r w:rsidR="003D2091" w:rsidRPr="003E3DD2">
        <w:rPr>
          <w:rFonts w:asciiTheme="minorHAnsi" w:eastAsiaTheme="minorHAnsi" w:hAnsiTheme="minorHAnsi" w:cstheme="minorHAnsi"/>
          <w:b/>
          <w:bCs/>
          <w:color w:val="E76E24"/>
          <w:sz w:val="28"/>
          <w:szCs w:val="28"/>
          <w:lang w:val="en-US"/>
        </w:rPr>
        <w:t>n:</w:t>
      </w:r>
    </w:p>
    <w:p w14:paraId="48F3EAC9" w14:textId="251B9FA1" w:rsidR="000E2A9D" w:rsidRPr="003E3DD2" w:rsidRDefault="00524170" w:rsidP="003E3DD2">
      <w:pPr>
        <w:pStyle w:val="ListParagraph"/>
        <w:numPr>
          <w:ilvl w:val="0"/>
          <w:numId w:val="6"/>
        </w:numPr>
        <w:ind w:left="357" w:hanging="357"/>
        <w:rPr>
          <w:rFonts w:asciiTheme="minorHAnsi" w:hAnsiTheme="minorHAnsi" w:cstheme="minorHAnsi"/>
          <w:szCs w:val="24"/>
        </w:rPr>
      </w:pPr>
      <w:r w:rsidRPr="003E3DD2">
        <w:rPr>
          <w:rFonts w:asciiTheme="minorHAnsi" w:hAnsiTheme="minorHAnsi" w:cstheme="minorHAnsi"/>
          <w:szCs w:val="24"/>
        </w:rPr>
        <w:t xml:space="preserve">The number of people aged over 65 is growing at more than twice the rate of the general population. </w:t>
      </w:r>
      <w:r w:rsidR="00F30AB3">
        <w:rPr>
          <w:rFonts w:asciiTheme="minorHAnsi" w:hAnsiTheme="minorHAnsi" w:cstheme="minorHAnsi"/>
          <w:szCs w:val="24"/>
        </w:rPr>
        <w:t xml:space="preserve"> </w:t>
      </w:r>
      <w:r w:rsidRPr="003E3DD2">
        <w:rPr>
          <w:rFonts w:asciiTheme="minorHAnsi" w:hAnsiTheme="minorHAnsi" w:cstheme="minorHAnsi"/>
          <w:szCs w:val="24"/>
        </w:rPr>
        <w:t xml:space="preserve">By 2031, Victorians aged over 60 living in Greater Melbourne will comprise 22% of the population. In rural and regional areas, almost 31% of Victorians will be aged over 60. </w:t>
      </w:r>
      <w:r w:rsidR="00F30AB3">
        <w:rPr>
          <w:rFonts w:asciiTheme="minorHAnsi" w:hAnsiTheme="minorHAnsi" w:cstheme="minorHAnsi"/>
          <w:szCs w:val="24"/>
        </w:rPr>
        <w:t xml:space="preserve"> </w:t>
      </w:r>
      <w:r w:rsidRPr="003E3DD2">
        <w:rPr>
          <w:rFonts w:asciiTheme="minorHAnsi" w:hAnsiTheme="minorHAnsi" w:cstheme="minorHAnsi"/>
          <w:szCs w:val="24"/>
        </w:rPr>
        <w:t xml:space="preserve">These trends </w:t>
      </w:r>
      <w:r w:rsidR="00A826E8" w:rsidRPr="003E3DD2">
        <w:rPr>
          <w:rFonts w:asciiTheme="minorHAnsi" w:hAnsiTheme="minorHAnsi" w:cstheme="minorHAnsi"/>
          <w:szCs w:val="24"/>
        </w:rPr>
        <w:t>demonstrate the need for high quality and accessible services to assist people to maintain their health, mobility, independence and quality of life as they age.</w:t>
      </w:r>
      <w:r w:rsidR="002E58FA" w:rsidRPr="003E3DD2">
        <w:rPr>
          <w:rStyle w:val="EndnoteReference"/>
          <w:rFonts w:asciiTheme="minorHAnsi" w:hAnsiTheme="minorHAnsi" w:cstheme="minorHAnsi"/>
          <w:szCs w:val="24"/>
        </w:rPr>
        <w:endnoteReference w:id="2"/>
      </w:r>
    </w:p>
    <w:p w14:paraId="5CED1914" w14:textId="184D6404" w:rsidR="00BA2C97" w:rsidRPr="003E3DD2" w:rsidRDefault="003A29D3" w:rsidP="003E3DD2">
      <w:pPr>
        <w:pStyle w:val="ListParagraph"/>
        <w:numPr>
          <w:ilvl w:val="0"/>
          <w:numId w:val="6"/>
        </w:numPr>
        <w:ind w:left="357" w:hanging="357"/>
        <w:rPr>
          <w:rFonts w:asciiTheme="minorHAnsi" w:hAnsiTheme="minorHAnsi" w:cstheme="minorHAnsi"/>
          <w:szCs w:val="24"/>
        </w:rPr>
      </w:pPr>
      <w:r w:rsidRPr="003E3DD2">
        <w:rPr>
          <w:rFonts w:asciiTheme="minorHAnsi" w:hAnsiTheme="minorHAnsi" w:cstheme="minorHAnsi"/>
          <w:szCs w:val="24"/>
        </w:rPr>
        <w:t xml:space="preserve">Public confidence in the aged care system is currently </w:t>
      </w:r>
      <w:r w:rsidR="00811B25" w:rsidRPr="003E3DD2">
        <w:rPr>
          <w:rFonts w:asciiTheme="minorHAnsi" w:hAnsiTheme="minorHAnsi" w:cstheme="minorHAnsi"/>
          <w:szCs w:val="24"/>
        </w:rPr>
        <w:t>lacking</w:t>
      </w:r>
      <w:r w:rsidRPr="003E3DD2">
        <w:rPr>
          <w:rFonts w:asciiTheme="minorHAnsi" w:hAnsiTheme="minorHAnsi" w:cstheme="minorHAnsi"/>
          <w:szCs w:val="24"/>
        </w:rPr>
        <w:t xml:space="preserve">. </w:t>
      </w:r>
      <w:r w:rsidR="00F30AB3">
        <w:rPr>
          <w:rFonts w:asciiTheme="minorHAnsi" w:hAnsiTheme="minorHAnsi" w:cstheme="minorHAnsi"/>
          <w:szCs w:val="24"/>
        </w:rPr>
        <w:t xml:space="preserve"> </w:t>
      </w:r>
      <w:r w:rsidRPr="003E3DD2">
        <w:rPr>
          <w:rFonts w:asciiTheme="minorHAnsi" w:hAnsiTheme="minorHAnsi" w:cstheme="minorHAnsi"/>
          <w:szCs w:val="24"/>
        </w:rPr>
        <w:t xml:space="preserve">This can be partly attributed to </w:t>
      </w:r>
      <w:r w:rsidR="00780087" w:rsidRPr="003E3DD2">
        <w:rPr>
          <w:rFonts w:asciiTheme="minorHAnsi" w:hAnsiTheme="minorHAnsi" w:cstheme="minorHAnsi"/>
          <w:szCs w:val="24"/>
        </w:rPr>
        <w:t>lived experiences high</w:t>
      </w:r>
      <w:r w:rsidRPr="003E3DD2">
        <w:rPr>
          <w:rFonts w:asciiTheme="minorHAnsi" w:hAnsiTheme="minorHAnsi" w:cstheme="minorHAnsi"/>
          <w:szCs w:val="24"/>
        </w:rPr>
        <w:t>light</w:t>
      </w:r>
      <w:r w:rsidR="00780087" w:rsidRPr="003E3DD2">
        <w:rPr>
          <w:rFonts w:asciiTheme="minorHAnsi" w:hAnsiTheme="minorHAnsi" w:cstheme="minorHAnsi"/>
          <w:szCs w:val="24"/>
        </w:rPr>
        <w:t>ed</w:t>
      </w:r>
      <w:r w:rsidRPr="003E3DD2">
        <w:rPr>
          <w:rFonts w:asciiTheme="minorHAnsi" w:hAnsiTheme="minorHAnsi" w:cstheme="minorHAnsi"/>
          <w:szCs w:val="24"/>
        </w:rPr>
        <w:t xml:space="preserve"> </w:t>
      </w:r>
      <w:r w:rsidR="00780087" w:rsidRPr="003E3DD2">
        <w:rPr>
          <w:rFonts w:asciiTheme="minorHAnsi" w:hAnsiTheme="minorHAnsi" w:cstheme="minorHAnsi"/>
          <w:szCs w:val="24"/>
        </w:rPr>
        <w:t xml:space="preserve">by </w:t>
      </w:r>
      <w:r w:rsidRPr="003E3DD2">
        <w:rPr>
          <w:rFonts w:asciiTheme="minorHAnsi" w:hAnsiTheme="minorHAnsi" w:cstheme="minorHAnsi"/>
          <w:szCs w:val="24"/>
        </w:rPr>
        <w:t xml:space="preserve">the </w:t>
      </w:r>
      <w:r w:rsidRPr="003E3DD2">
        <w:rPr>
          <w:rFonts w:asciiTheme="minorHAnsi" w:hAnsiTheme="minorHAnsi" w:cstheme="minorHAnsi"/>
          <w:i/>
          <w:iCs/>
          <w:szCs w:val="24"/>
        </w:rPr>
        <w:t>Royal Commission into Aged Care Quality and Safety</w:t>
      </w:r>
      <w:r w:rsidRPr="003E3DD2">
        <w:rPr>
          <w:rFonts w:asciiTheme="minorHAnsi" w:hAnsiTheme="minorHAnsi" w:cstheme="minorHAnsi"/>
          <w:szCs w:val="24"/>
        </w:rPr>
        <w:t xml:space="preserve"> and a number of systemic issues </w:t>
      </w:r>
      <w:r w:rsidR="00811B25" w:rsidRPr="003E3DD2">
        <w:rPr>
          <w:rFonts w:asciiTheme="minorHAnsi" w:hAnsiTheme="minorHAnsi" w:cstheme="minorHAnsi"/>
          <w:szCs w:val="24"/>
        </w:rPr>
        <w:t xml:space="preserve">that have </w:t>
      </w:r>
      <w:r w:rsidR="00780087" w:rsidRPr="003E3DD2">
        <w:rPr>
          <w:rFonts w:asciiTheme="minorHAnsi" w:hAnsiTheme="minorHAnsi" w:cstheme="minorHAnsi"/>
          <w:szCs w:val="24"/>
        </w:rPr>
        <w:t>ari</w:t>
      </w:r>
      <w:r w:rsidR="00811B25" w:rsidRPr="003E3DD2">
        <w:rPr>
          <w:rFonts w:asciiTheme="minorHAnsi" w:hAnsiTheme="minorHAnsi" w:cstheme="minorHAnsi"/>
          <w:szCs w:val="24"/>
        </w:rPr>
        <w:t>sen</w:t>
      </w:r>
      <w:r w:rsidRPr="003E3DD2">
        <w:rPr>
          <w:rFonts w:asciiTheme="minorHAnsi" w:hAnsiTheme="minorHAnsi" w:cstheme="minorHAnsi"/>
          <w:szCs w:val="24"/>
        </w:rPr>
        <w:t xml:space="preserve"> during the COVID-19 pandemic.</w:t>
      </w:r>
      <w:r w:rsidR="00055EC1" w:rsidRPr="003E3DD2">
        <w:rPr>
          <w:rFonts w:asciiTheme="minorHAnsi" w:hAnsiTheme="minorHAnsi" w:cstheme="minorHAnsi"/>
          <w:szCs w:val="24"/>
        </w:rPr>
        <w:t xml:space="preserve"> </w:t>
      </w:r>
      <w:r w:rsidR="00F30AB3">
        <w:rPr>
          <w:rFonts w:asciiTheme="minorHAnsi" w:hAnsiTheme="minorHAnsi" w:cstheme="minorHAnsi"/>
          <w:szCs w:val="24"/>
        </w:rPr>
        <w:t xml:space="preserve"> </w:t>
      </w:r>
      <w:r w:rsidR="00055EC1" w:rsidRPr="003E3DD2">
        <w:rPr>
          <w:rFonts w:asciiTheme="minorHAnsi" w:hAnsiTheme="minorHAnsi" w:cstheme="minorHAnsi"/>
          <w:szCs w:val="24"/>
        </w:rPr>
        <w:t xml:space="preserve">The Victorian Government must play a proactive role in the </w:t>
      </w:r>
      <w:r w:rsidR="005B5548" w:rsidRPr="003E3DD2">
        <w:rPr>
          <w:rFonts w:asciiTheme="minorHAnsi" w:hAnsiTheme="minorHAnsi" w:cstheme="minorHAnsi"/>
          <w:szCs w:val="24"/>
        </w:rPr>
        <w:t xml:space="preserve">implementation of recommendations from the </w:t>
      </w:r>
      <w:r w:rsidR="005B5548" w:rsidRPr="003E3DD2">
        <w:rPr>
          <w:rFonts w:asciiTheme="minorHAnsi" w:hAnsiTheme="minorHAnsi" w:cstheme="minorHAnsi"/>
          <w:i/>
          <w:iCs/>
          <w:szCs w:val="24"/>
        </w:rPr>
        <w:t>Royal Commission into Aged Care Quality and Safety</w:t>
      </w:r>
      <w:r w:rsidR="005B5548" w:rsidRPr="003E3DD2">
        <w:rPr>
          <w:rFonts w:asciiTheme="minorHAnsi" w:hAnsiTheme="minorHAnsi" w:cstheme="minorHAnsi"/>
          <w:szCs w:val="24"/>
        </w:rPr>
        <w:t xml:space="preserve"> </w:t>
      </w:r>
      <w:r w:rsidR="00F94384" w:rsidRPr="003E3DD2">
        <w:rPr>
          <w:rFonts w:asciiTheme="minorHAnsi" w:hAnsiTheme="minorHAnsi" w:cstheme="minorHAnsi"/>
          <w:szCs w:val="24"/>
        </w:rPr>
        <w:t>to ensure aged care services respond to the needs of older Victorians</w:t>
      </w:r>
      <w:r w:rsidR="00B73CD1" w:rsidRPr="003E3DD2">
        <w:rPr>
          <w:rFonts w:asciiTheme="minorHAnsi" w:hAnsiTheme="minorHAnsi" w:cstheme="minorHAnsi"/>
          <w:szCs w:val="24"/>
        </w:rPr>
        <w:t xml:space="preserve"> into the future</w:t>
      </w:r>
      <w:r w:rsidR="00BA2C97" w:rsidRPr="003E3DD2">
        <w:rPr>
          <w:rFonts w:asciiTheme="minorHAnsi" w:hAnsiTheme="minorHAnsi" w:cstheme="minorHAnsi"/>
          <w:szCs w:val="24"/>
        </w:rPr>
        <w:t>.</w:t>
      </w:r>
    </w:p>
    <w:p w14:paraId="4EFB1643" w14:textId="03A0F326" w:rsidR="00F94384" w:rsidRPr="003E3DD2" w:rsidRDefault="00055EC1" w:rsidP="003E3DD2">
      <w:pPr>
        <w:pStyle w:val="ListParagraph"/>
        <w:numPr>
          <w:ilvl w:val="0"/>
          <w:numId w:val="6"/>
        </w:numPr>
        <w:ind w:left="357" w:hanging="357"/>
        <w:rPr>
          <w:rFonts w:asciiTheme="minorHAnsi" w:hAnsiTheme="minorHAnsi" w:cstheme="minorHAnsi"/>
          <w:szCs w:val="24"/>
        </w:rPr>
      </w:pPr>
      <w:r w:rsidRPr="003E3DD2">
        <w:rPr>
          <w:rFonts w:asciiTheme="minorHAnsi" w:hAnsiTheme="minorHAnsi" w:cstheme="minorHAnsi"/>
          <w:szCs w:val="24"/>
        </w:rPr>
        <w:lastRenderedPageBreak/>
        <w:t>Many o</w:t>
      </w:r>
      <w:r w:rsidR="006B098D" w:rsidRPr="003E3DD2">
        <w:rPr>
          <w:rFonts w:asciiTheme="minorHAnsi" w:hAnsiTheme="minorHAnsi" w:cstheme="minorHAnsi"/>
          <w:szCs w:val="24"/>
        </w:rPr>
        <w:t xml:space="preserve">lder people </w:t>
      </w:r>
      <w:r w:rsidR="00F94384" w:rsidRPr="003E3DD2">
        <w:rPr>
          <w:rFonts w:asciiTheme="minorHAnsi" w:hAnsiTheme="minorHAnsi" w:cstheme="minorHAnsi"/>
          <w:szCs w:val="24"/>
        </w:rPr>
        <w:t xml:space="preserve">report </w:t>
      </w:r>
      <w:r w:rsidR="006B098D" w:rsidRPr="003E3DD2">
        <w:rPr>
          <w:rFonts w:asciiTheme="minorHAnsi" w:hAnsiTheme="minorHAnsi" w:cstheme="minorHAnsi"/>
          <w:szCs w:val="24"/>
        </w:rPr>
        <w:t>feel</w:t>
      </w:r>
      <w:r w:rsidR="00B73CD1" w:rsidRPr="003E3DD2">
        <w:rPr>
          <w:rFonts w:asciiTheme="minorHAnsi" w:hAnsiTheme="minorHAnsi" w:cstheme="minorHAnsi"/>
          <w:szCs w:val="24"/>
        </w:rPr>
        <w:t>ing</w:t>
      </w:r>
      <w:r w:rsidR="006B098D" w:rsidRPr="003E3DD2">
        <w:rPr>
          <w:rFonts w:asciiTheme="minorHAnsi" w:hAnsiTheme="minorHAnsi" w:cstheme="minorHAnsi"/>
          <w:szCs w:val="24"/>
        </w:rPr>
        <w:t xml:space="preserve"> as though </w:t>
      </w:r>
      <w:r w:rsidR="00780087" w:rsidRPr="003E3DD2">
        <w:rPr>
          <w:rFonts w:asciiTheme="minorHAnsi" w:hAnsiTheme="minorHAnsi" w:cstheme="minorHAnsi"/>
          <w:szCs w:val="24"/>
        </w:rPr>
        <w:t xml:space="preserve">the </w:t>
      </w:r>
      <w:r w:rsidR="003A29D3" w:rsidRPr="003E3DD2">
        <w:rPr>
          <w:rFonts w:asciiTheme="minorHAnsi" w:hAnsiTheme="minorHAnsi" w:cstheme="minorHAnsi"/>
          <w:szCs w:val="24"/>
        </w:rPr>
        <w:t xml:space="preserve">Victorian Government </w:t>
      </w:r>
      <w:r w:rsidR="006B098D" w:rsidRPr="003E3DD2">
        <w:rPr>
          <w:rFonts w:asciiTheme="minorHAnsi" w:hAnsiTheme="minorHAnsi" w:cstheme="minorHAnsi"/>
          <w:szCs w:val="24"/>
        </w:rPr>
        <w:t xml:space="preserve">has </w:t>
      </w:r>
      <w:r w:rsidR="003A29D3" w:rsidRPr="003E3DD2">
        <w:rPr>
          <w:rFonts w:asciiTheme="minorHAnsi" w:hAnsiTheme="minorHAnsi" w:cstheme="minorHAnsi"/>
          <w:szCs w:val="24"/>
        </w:rPr>
        <w:t>absolve</w:t>
      </w:r>
      <w:r w:rsidR="00DA0265" w:rsidRPr="003E3DD2">
        <w:rPr>
          <w:rFonts w:asciiTheme="minorHAnsi" w:hAnsiTheme="minorHAnsi" w:cstheme="minorHAnsi"/>
          <w:szCs w:val="24"/>
        </w:rPr>
        <w:t>d</w:t>
      </w:r>
      <w:r w:rsidR="003A29D3" w:rsidRPr="003E3DD2">
        <w:rPr>
          <w:rFonts w:asciiTheme="minorHAnsi" w:hAnsiTheme="minorHAnsi" w:cstheme="minorHAnsi"/>
          <w:szCs w:val="24"/>
        </w:rPr>
        <w:t xml:space="preserve"> itself of responsibility </w:t>
      </w:r>
      <w:r w:rsidR="00DF74F0" w:rsidRPr="003E3DD2">
        <w:rPr>
          <w:rFonts w:asciiTheme="minorHAnsi" w:hAnsiTheme="minorHAnsi" w:cstheme="minorHAnsi"/>
          <w:szCs w:val="24"/>
        </w:rPr>
        <w:t xml:space="preserve">to people living in residential </w:t>
      </w:r>
      <w:r w:rsidR="006B098D" w:rsidRPr="003E3DD2">
        <w:rPr>
          <w:rFonts w:asciiTheme="minorHAnsi" w:hAnsiTheme="minorHAnsi" w:cstheme="minorHAnsi"/>
          <w:szCs w:val="24"/>
        </w:rPr>
        <w:t xml:space="preserve">aged </w:t>
      </w:r>
      <w:r w:rsidR="00DF74F0" w:rsidRPr="003E3DD2">
        <w:rPr>
          <w:rFonts w:asciiTheme="minorHAnsi" w:hAnsiTheme="minorHAnsi" w:cstheme="minorHAnsi"/>
          <w:szCs w:val="24"/>
        </w:rPr>
        <w:t>care</w:t>
      </w:r>
      <w:r w:rsidR="00780087" w:rsidRPr="003E3DD2">
        <w:rPr>
          <w:rFonts w:asciiTheme="minorHAnsi" w:hAnsiTheme="minorHAnsi" w:cstheme="minorHAnsi"/>
          <w:szCs w:val="24"/>
        </w:rPr>
        <w:t xml:space="preserve"> because </w:t>
      </w:r>
      <w:r w:rsidR="002D294B" w:rsidRPr="003E3DD2">
        <w:rPr>
          <w:rFonts w:asciiTheme="minorHAnsi" w:hAnsiTheme="minorHAnsi" w:cstheme="minorHAnsi"/>
          <w:szCs w:val="24"/>
        </w:rPr>
        <w:t xml:space="preserve">it </w:t>
      </w:r>
      <w:r w:rsidR="00780087" w:rsidRPr="003E3DD2">
        <w:rPr>
          <w:rFonts w:asciiTheme="minorHAnsi" w:hAnsiTheme="minorHAnsi" w:cstheme="minorHAnsi"/>
          <w:szCs w:val="24"/>
        </w:rPr>
        <w:t>is funded</w:t>
      </w:r>
      <w:r w:rsidR="0054484B" w:rsidRPr="003E3DD2">
        <w:rPr>
          <w:rFonts w:asciiTheme="minorHAnsi" w:hAnsiTheme="minorHAnsi" w:cstheme="minorHAnsi"/>
          <w:szCs w:val="24"/>
        </w:rPr>
        <w:t xml:space="preserve"> by the Commonwealth</w:t>
      </w:r>
      <w:r w:rsidR="00F94384" w:rsidRPr="003E3DD2">
        <w:rPr>
          <w:rFonts w:asciiTheme="minorHAnsi" w:hAnsiTheme="minorHAnsi" w:cstheme="minorHAnsi"/>
          <w:szCs w:val="24"/>
        </w:rPr>
        <w:t xml:space="preserve">. </w:t>
      </w:r>
      <w:r w:rsidR="00F30AB3">
        <w:rPr>
          <w:rFonts w:asciiTheme="minorHAnsi" w:hAnsiTheme="minorHAnsi" w:cstheme="minorHAnsi"/>
          <w:szCs w:val="24"/>
        </w:rPr>
        <w:t xml:space="preserve"> </w:t>
      </w:r>
      <w:r w:rsidR="00F94384" w:rsidRPr="003E3DD2">
        <w:rPr>
          <w:rFonts w:asciiTheme="minorHAnsi" w:hAnsiTheme="minorHAnsi" w:cstheme="minorHAnsi"/>
          <w:szCs w:val="24"/>
        </w:rPr>
        <w:t xml:space="preserve">We remind the </w:t>
      </w:r>
      <w:r w:rsidR="007D73D9" w:rsidRPr="003E3DD2">
        <w:rPr>
          <w:rFonts w:asciiTheme="minorHAnsi" w:hAnsiTheme="minorHAnsi" w:cstheme="minorHAnsi"/>
          <w:szCs w:val="24"/>
        </w:rPr>
        <w:t xml:space="preserve">Victorian </w:t>
      </w:r>
      <w:r w:rsidR="00F94384" w:rsidRPr="003E3DD2">
        <w:rPr>
          <w:rFonts w:asciiTheme="minorHAnsi" w:hAnsiTheme="minorHAnsi" w:cstheme="minorHAnsi"/>
          <w:szCs w:val="24"/>
        </w:rPr>
        <w:t>Government that t</w:t>
      </w:r>
      <w:r w:rsidR="00DF74F0" w:rsidRPr="003E3DD2">
        <w:rPr>
          <w:rFonts w:asciiTheme="minorHAnsi" w:hAnsiTheme="minorHAnsi" w:cstheme="minorHAnsi"/>
          <w:szCs w:val="24"/>
        </w:rPr>
        <w:t xml:space="preserve">hese </w:t>
      </w:r>
      <w:r w:rsidR="00F94384" w:rsidRPr="003E3DD2">
        <w:rPr>
          <w:rFonts w:asciiTheme="minorHAnsi" w:hAnsiTheme="minorHAnsi" w:cstheme="minorHAnsi"/>
          <w:szCs w:val="24"/>
        </w:rPr>
        <w:t xml:space="preserve">people </w:t>
      </w:r>
      <w:r w:rsidR="00DF74F0" w:rsidRPr="003E3DD2">
        <w:rPr>
          <w:rFonts w:asciiTheme="minorHAnsi" w:hAnsiTheme="minorHAnsi" w:cstheme="minorHAnsi"/>
          <w:szCs w:val="24"/>
        </w:rPr>
        <w:t xml:space="preserve">are </w:t>
      </w:r>
      <w:r w:rsidR="002D294B" w:rsidRPr="003E3DD2">
        <w:rPr>
          <w:rFonts w:asciiTheme="minorHAnsi" w:hAnsiTheme="minorHAnsi" w:cstheme="minorHAnsi"/>
          <w:szCs w:val="24"/>
        </w:rPr>
        <w:t xml:space="preserve">still </w:t>
      </w:r>
      <w:r w:rsidR="00780087" w:rsidRPr="003E3DD2">
        <w:rPr>
          <w:rFonts w:asciiTheme="minorHAnsi" w:hAnsiTheme="minorHAnsi" w:cstheme="minorHAnsi"/>
          <w:szCs w:val="24"/>
        </w:rPr>
        <w:t xml:space="preserve">citizens </w:t>
      </w:r>
      <w:r w:rsidR="00F94384" w:rsidRPr="003E3DD2">
        <w:rPr>
          <w:rFonts w:asciiTheme="minorHAnsi" w:hAnsiTheme="minorHAnsi" w:cstheme="minorHAnsi"/>
          <w:szCs w:val="24"/>
        </w:rPr>
        <w:t xml:space="preserve">who have legislated rights under the </w:t>
      </w:r>
      <w:r w:rsidR="00DF74F0" w:rsidRPr="003E3DD2">
        <w:rPr>
          <w:rFonts w:asciiTheme="minorHAnsi" w:hAnsiTheme="minorHAnsi" w:cstheme="minorHAnsi"/>
          <w:i/>
          <w:iCs/>
          <w:szCs w:val="24"/>
        </w:rPr>
        <w:t>Victorian Charter of Human Rights and Responsibilities</w:t>
      </w:r>
      <w:r w:rsidR="004D4116" w:rsidRPr="003E3DD2">
        <w:rPr>
          <w:rFonts w:asciiTheme="minorHAnsi" w:hAnsiTheme="minorHAnsi" w:cstheme="minorHAnsi"/>
          <w:szCs w:val="24"/>
        </w:rPr>
        <w:t>.</w:t>
      </w:r>
      <w:r w:rsidR="00F30AB3">
        <w:rPr>
          <w:rFonts w:asciiTheme="minorHAnsi" w:hAnsiTheme="minorHAnsi" w:cstheme="minorHAnsi"/>
          <w:szCs w:val="24"/>
        </w:rPr>
        <w:t xml:space="preserve"> </w:t>
      </w:r>
      <w:r w:rsidR="004D4116" w:rsidRPr="003E3DD2">
        <w:rPr>
          <w:rFonts w:asciiTheme="minorHAnsi" w:hAnsiTheme="minorHAnsi" w:cstheme="minorHAnsi"/>
          <w:szCs w:val="24"/>
        </w:rPr>
        <w:t xml:space="preserve"> </w:t>
      </w:r>
      <w:r w:rsidRPr="003E3DD2">
        <w:rPr>
          <w:rFonts w:asciiTheme="minorHAnsi" w:hAnsiTheme="minorHAnsi" w:cstheme="minorHAnsi"/>
          <w:szCs w:val="24"/>
        </w:rPr>
        <w:t>Despite this fac</w:t>
      </w:r>
      <w:r w:rsidR="009D63BD" w:rsidRPr="003E3DD2">
        <w:rPr>
          <w:rFonts w:asciiTheme="minorHAnsi" w:hAnsiTheme="minorHAnsi" w:cstheme="minorHAnsi"/>
          <w:szCs w:val="24"/>
        </w:rPr>
        <w:t xml:space="preserve">t, Victorian aged care residents are currently locked out of a range of services including </w:t>
      </w:r>
      <w:r w:rsidR="00BA404B">
        <w:rPr>
          <w:rFonts w:asciiTheme="minorHAnsi" w:hAnsiTheme="minorHAnsi" w:cstheme="minorHAnsi"/>
          <w:szCs w:val="24"/>
        </w:rPr>
        <w:t xml:space="preserve">local government </w:t>
      </w:r>
      <w:r w:rsidR="003C5792" w:rsidRPr="003E3DD2">
        <w:rPr>
          <w:rFonts w:asciiTheme="minorHAnsi" w:hAnsiTheme="minorHAnsi" w:cstheme="minorHAnsi"/>
          <w:szCs w:val="24"/>
        </w:rPr>
        <w:t>programs</w:t>
      </w:r>
      <w:r w:rsidR="009D63BD" w:rsidRPr="003E3DD2">
        <w:rPr>
          <w:rFonts w:asciiTheme="minorHAnsi" w:hAnsiTheme="minorHAnsi" w:cstheme="minorHAnsi"/>
          <w:szCs w:val="24"/>
        </w:rPr>
        <w:t xml:space="preserve">, community transport and allied health. This places </w:t>
      </w:r>
      <w:r w:rsidR="00B73CD1" w:rsidRPr="003E3DD2">
        <w:rPr>
          <w:rFonts w:asciiTheme="minorHAnsi" w:hAnsiTheme="minorHAnsi" w:cstheme="minorHAnsi"/>
          <w:szCs w:val="24"/>
        </w:rPr>
        <w:t xml:space="preserve">them </w:t>
      </w:r>
      <w:r w:rsidR="009D63BD" w:rsidRPr="003E3DD2">
        <w:rPr>
          <w:rFonts w:asciiTheme="minorHAnsi" w:hAnsiTheme="minorHAnsi" w:cstheme="minorHAnsi"/>
          <w:szCs w:val="24"/>
        </w:rPr>
        <w:t xml:space="preserve">at increased risk of experiencing </w:t>
      </w:r>
      <w:r w:rsidR="007D73D9" w:rsidRPr="003E3DD2">
        <w:rPr>
          <w:rFonts w:asciiTheme="minorHAnsi" w:hAnsiTheme="minorHAnsi" w:cstheme="minorHAnsi"/>
          <w:szCs w:val="24"/>
        </w:rPr>
        <w:t xml:space="preserve">social </w:t>
      </w:r>
      <w:r w:rsidR="009D63BD" w:rsidRPr="003E3DD2">
        <w:rPr>
          <w:rFonts w:asciiTheme="minorHAnsi" w:hAnsiTheme="minorHAnsi" w:cstheme="minorHAnsi"/>
          <w:szCs w:val="24"/>
        </w:rPr>
        <w:t>isolatio</w:t>
      </w:r>
      <w:r w:rsidR="00811B25" w:rsidRPr="003E3DD2">
        <w:rPr>
          <w:rFonts w:asciiTheme="minorHAnsi" w:hAnsiTheme="minorHAnsi" w:cstheme="minorHAnsi"/>
          <w:szCs w:val="24"/>
        </w:rPr>
        <w:t xml:space="preserve">n and </w:t>
      </w:r>
      <w:r w:rsidR="009D63BD" w:rsidRPr="003E3DD2">
        <w:rPr>
          <w:rFonts w:asciiTheme="minorHAnsi" w:hAnsiTheme="minorHAnsi" w:cstheme="minorHAnsi"/>
          <w:szCs w:val="24"/>
        </w:rPr>
        <w:t xml:space="preserve">loneliness and can lead to </w:t>
      </w:r>
      <w:r w:rsidR="007D73D9" w:rsidRPr="003E3DD2">
        <w:rPr>
          <w:rFonts w:asciiTheme="minorHAnsi" w:hAnsiTheme="minorHAnsi" w:cstheme="minorHAnsi"/>
          <w:szCs w:val="24"/>
        </w:rPr>
        <w:t xml:space="preserve">a range of </w:t>
      </w:r>
      <w:r w:rsidR="009D63BD" w:rsidRPr="003E3DD2">
        <w:rPr>
          <w:rFonts w:asciiTheme="minorHAnsi" w:hAnsiTheme="minorHAnsi" w:cstheme="minorHAnsi"/>
          <w:szCs w:val="24"/>
        </w:rPr>
        <w:t>negative health outcomes</w:t>
      </w:r>
      <w:r w:rsidR="00F94384" w:rsidRPr="003E3DD2">
        <w:rPr>
          <w:rFonts w:asciiTheme="minorHAnsi" w:hAnsiTheme="minorHAnsi" w:cstheme="minorHAnsi"/>
          <w:szCs w:val="24"/>
        </w:rPr>
        <w:t>.</w:t>
      </w:r>
    </w:p>
    <w:p w14:paraId="30BF06CB" w14:textId="683832A3" w:rsidR="006812F0" w:rsidRPr="003E3DD2" w:rsidRDefault="004C0617" w:rsidP="003E3DD2">
      <w:pPr>
        <w:pStyle w:val="ListParagraph"/>
        <w:numPr>
          <w:ilvl w:val="0"/>
          <w:numId w:val="6"/>
        </w:numPr>
        <w:ind w:left="357" w:hanging="357"/>
        <w:rPr>
          <w:rFonts w:asciiTheme="minorHAnsi" w:hAnsiTheme="minorHAnsi" w:cstheme="minorHAnsi"/>
          <w:szCs w:val="24"/>
        </w:rPr>
      </w:pPr>
      <w:r>
        <w:rPr>
          <w:rFonts w:asciiTheme="minorHAnsi" w:hAnsiTheme="minorHAnsi" w:cstheme="minorHAnsi"/>
          <w:szCs w:val="24"/>
        </w:rPr>
        <w:t>We</w:t>
      </w:r>
      <w:r w:rsidR="009D63BD" w:rsidRPr="003E3DD2">
        <w:rPr>
          <w:rFonts w:asciiTheme="minorHAnsi" w:hAnsiTheme="minorHAnsi" w:cstheme="minorHAnsi"/>
          <w:szCs w:val="24"/>
        </w:rPr>
        <w:t xml:space="preserve"> </w:t>
      </w:r>
      <w:r w:rsidR="004D4116" w:rsidRPr="003E3DD2">
        <w:rPr>
          <w:rFonts w:asciiTheme="minorHAnsi" w:hAnsiTheme="minorHAnsi" w:cstheme="minorHAnsi"/>
          <w:szCs w:val="24"/>
        </w:rPr>
        <w:t xml:space="preserve">want the Victorian Government to play a more proactive role in safeguarding aged care residents from violence, abuse and neglect. </w:t>
      </w:r>
      <w:r w:rsidR="00F30AB3">
        <w:rPr>
          <w:rFonts w:asciiTheme="minorHAnsi" w:hAnsiTheme="minorHAnsi" w:cstheme="minorHAnsi"/>
          <w:szCs w:val="24"/>
        </w:rPr>
        <w:t xml:space="preserve"> </w:t>
      </w:r>
      <w:r w:rsidR="004D4116" w:rsidRPr="003E3DD2">
        <w:rPr>
          <w:rFonts w:asciiTheme="minorHAnsi" w:hAnsiTheme="minorHAnsi" w:cstheme="minorHAnsi"/>
          <w:szCs w:val="24"/>
        </w:rPr>
        <w:t xml:space="preserve">While the </w:t>
      </w:r>
      <w:r w:rsidR="005C2E53" w:rsidRPr="003E3DD2">
        <w:rPr>
          <w:rFonts w:asciiTheme="minorHAnsi" w:hAnsiTheme="minorHAnsi" w:cstheme="minorHAnsi"/>
          <w:szCs w:val="24"/>
        </w:rPr>
        <w:t>Commonwealth</w:t>
      </w:r>
      <w:r w:rsidR="004D4116" w:rsidRPr="003E3DD2">
        <w:rPr>
          <w:rFonts w:asciiTheme="minorHAnsi" w:hAnsiTheme="minorHAnsi" w:cstheme="minorHAnsi"/>
          <w:szCs w:val="24"/>
        </w:rPr>
        <w:t xml:space="preserve"> Government </w:t>
      </w:r>
      <w:r w:rsidR="009C3218" w:rsidRPr="003E3DD2">
        <w:rPr>
          <w:rFonts w:asciiTheme="minorHAnsi" w:hAnsiTheme="minorHAnsi" w:cstheme="minorHAnsi"/>
          <w:szCs w:val="24"/>
        </w:rPr>
        <w:t xml:space="preserve">already </w:t>
      </w:r>
      <w:r w:rsidR="006F2D14" w:rsidRPr="003E3DD2">
        <w:rPr>
          <w:rFonts w:asciiTheme="minorHAnsi" w:hAnsiTheme="minorHAnsi" w:cstheme="minorHAnsi"/>
          <w:szCs w:val="24"/>
        </w:rPr>
        <w:t>fund</w:t>
      </w:r>
      <w:r w:rsidR="003C5792" w:rsidRPr="003E3DD2">
        <w:rPr>
          <w:rFonts w:asciiTheme="minorHAnsi" w:hAnsiTheme="minorHAnsi" w:cstheme="minorHAnsi"/>
          <w:szCs w:val="24"/>
        </w:rPr>
        <w:t>s</w:t>
      </w:r>
      <w:r w:rsidR="006F2D14" w:rsidRPr="003E3DD2">
        <w:rPr>
          <w:rFonts w:asciiTheme="minorHAnsi" w:hAnsiTheme="minorHAnsi" w:cstheme="minorHAnsi"/>
          <w:szCs w:val="24"/>
        </w:rPr>
        <w:t xml:space="preserve"> </w:t>
      </w:r>
      <w:r w:rsidR="006579EF" w:rsidRPr="003E3DD2">
        <w:rPr>
          <w:rFonts w:asciiTheme="minorHAnsi" w:hAnsiTheme="minorHAnsi" w:cstheme="minorHAnsi"/>
          <w:szCs w:val="24"/>
        </w:rPr>
        <w:t xml:space="preserve">a </w:t>
      </w:r>
      <w:r w:rsidR="006F2D14" w:rsidRPr="003E3DD2">
        <w:rPr>
          <w:rFonts w:asciiTheme="minorHAnsi" w:hAnsiTheme="minorHAnsi" w:cstheme="minorHAnsi"/>
          <w:szCs w:val="24"/>
        </w:rPr>
        <w:t>Community Visitors Schem</w:t>
      </w:r>
      <w:r w:rsidR="006579EF" w:rsidRPr="003E3DD2">
        <w:rPr>
          <w:rFonts w:asciiTheme="minorHAnsi" w:hAnsiTheme="minorHAnsi" w:cstheme="minorHAnsi"/>
          <w:szCs w:val="24"/>
        </w:rPr>
        <w:t xml:space="preserve">e for </w:t>
      </w:r>
      <w:r w:rsidR="003A4DE1" w:rsidRPr="003E3DD2">
        <w:rPr>
          <w:rFonts w:asciiTheme="minorHAnsi" w:hAnsiTheme="minorHAnsi" w:cstheme="minorHAnsi"/>
          <w:szCs w:val="24"/>
        </w:rPr>
        <w:t xml:space="preserve">people receiving Government-funded </w:t>
      </w:r>
      <w:r w:rsidR="00CC6E26" w:rsidRPr="003E3DD2">
        <w:rPr>
          <w:rFonts w:asciiTheme="minorHAnsi" w:hAnsiTheme="minorHAnsi" w:cstheme="minorHAnsi"/>
          <w:szCs w:val="24"/>
        </w:rPr>
        <w:t xml:space="preserve">aged care </w:t>
      </w:r>
      <w:r w:rsidR="003A4DE1" w:rsidRPr="003E3DD2">
        <w:rPr>
          <w:rFonts w:asciiTheme="minorHAnsi" w:hAnsiTheme="minorHAnsi" w:cstheme="minorHAnsi"/>
          <w:szCs w:val="24"/>
        </w:rPr>
        <w:t xml:space="preserve">services, </w:t>
      </w:r>
      <w:r w:rsidR="006579EF" w:rsidRPr="003E3DD2">
        <w:rPr>
          <w:rFonts w:asciiTheme="minorHAnsi" w:hAnsiTheme="minorHAnsi" w:cstheme="minorHAnsi"/>
          <w:szCs w:val="24"/>
        </w:rPr>
        <w:t xml:space="preserve">this is </w:t>
      </w:r>
      <w:r w:rsidR="00790826">
        <w:rPr>
          <w:rFonts w:asciiTheme="minorHAnsi" w:hAnsiTheme="minorHAnsi" w:cstheme="minorHAnsi"/>
          <w:szCs w:val="24"/>
        </w:rPr>
        <w:t>solely</w:t>
      </w:r>
      <w:r w:rsidR="000F0B2C" w:rsidRPr="003E3DD2">
        <w:rPr>
          <w:rFonts w:asciiTheme="minorHAnsi" w:hAnsiTheme="minorHAnsi" w:cstheme="minorHAnsi"/>
          <w:szCs w:val="24"/>
        </w:rPr>
        <w:t xml:space="preserve"> </w:t>
      </w:r>
      <w:r w:rsidR="00AC417B" w:rsidRPr="003E3DD2">
        <w:rPr>
          <w:rFonts w:asciiTheme="minorHAnsi" w:hAnsiTheme="minorHAnsi" w:cstheme="minorHAnsi"/>
          <w:szCs w:val="24"/>
        </w:rPr>
        <w:t>a companion program</w:t>
      </w:r>
      <w:r w:rsidR="009C3218" w:rsidRPr="003E3DD2">
        <w:rPr>
          <w:rFonts w:asciiTheme="minorHAnsi" w:hAnsiTheme="minorHAnsi" w:cstheme="minorHAnsi"/>
          <w:szCs w:val="24"/>
        </w:rPr>
        <w:t>.</w:t>
      </w:r>
      <w:r w:rsidR="005B5548" w:rsidRPr="003E3DD2">
        <w:rPr>
          <w:rStyle w:val="EndnoteReference"/>
          <w:rFonts w:asciiTheme="minorHAnsi" w:hAnsiTheme="minorHAnsi" w:cstheme="minorHAnsi"/>
          <w:szCs w:val="24"/>
        </w:rPr>
        <w:endnoteReference w:id="3"/>
      </w:r>
      <w:r w:rsidR="009C3218" w:rsidRPr="003E3DD2">
        <w:rPr>
          <w:rFonts w:asciiTheme="minorHAnsi" w:hAnsiTheme="minorHAnsi" w:cstheme="minorHAnsi"/>
          <w:szCs w:val="24"/>
        </w:rPr>
        <w:t xml:space="preserve"> </w:t>
      </w:r>
      <w:r w:rsidR="00F30AB3">
        <w:rPr>
          <w:rFonts w:asciiTheme="minorHAnsi" w:hAnsiTheme="minorHAnsi" w:cstheme="minorHAnsi"/>
          <w:szCs w:val="24"/>
        </w:rPr>
        <w:t xml:space="preserve"> </w:t>
      </w:r>
      <w:r w:rsidR="00EB4FBB" w:rsidRPr="003E3DD2">
        <w:rPr>
          <w:rFonts w:asciiTheme="minorHAnsi" w:hAnsiTheme="minorHAnsi" w:cstheme="minorHAnsi"/>
          <w:szCs w:val="24"/>
        </w:rPr>
        <w:t xml:space="preserve">Older people </w:t>
      </w:r>
      <w:r w:rsidR="00790826">
        <w:rPr>
          <w:rFonts w:asciiTheme="minorHAnsi" w:hAnsiTheme="minorHAnsi" w:cstheme="minorHAnsi"/>
          <w:szCs w:val="24"/>
        </w:rPr>
        <w:t xml:space="preserve">consulted </w:t>
      </w:r>
      <w:r w:rsidR="00EB4FBB" w:rsidRPr="003E3DD2">
        <w:rPr>
          <w:rFonts w:asciiTheme="minorHAnsi" w:hAnsiTheme="minorHAnsi" w:cstheme="minorHAnsi"/>
          <w:szCs w:val="24"/>
        </w:rPr>
        <w:t>w</w:t>
      </w:r>
      <w:r w:rsidR="00790826">
        <w:rPr>
          <w:rFonts w:asciiTheme="minorHAnsi" w:hAnsiTheme="minorHAnsi" w:cstheme="minorHAnsi"/>
          <w:szCs w:val="24"/>
        </w:rPr>
        <w:t>ant</w:t>
      </w:r>
      <w:r w:rsidR="00EB4FBB" w:rsidRPr="003E3DD2">
        <w:rPr>
          <w:rFonts w:asciiTheme="minorHAnsi" w:hAnsiTheme="minorHAnsi" w:cstheme="minorHAnsi"/>
          <w:szCs w:val="24"/>
        </w:rPr>
        <w:t xml:space="preserve"> to see the Victorian </w:t>
      </w:r>
      <w:r w:rsidR="0097702C" w:rsidRPr="003E3DD2">
        <w:rPr>
          <w:rFonts w:asciiTheme="minorHAnsi" w:hAnsiTheme="minorHAnsi" w:cstheme="minorHAnsi"/>
          <w:szCs w:val="24"/>
        </w:rPr>
        <w:t xml:space="preserve">Government </w:t>
      </w:r>
      <w:r w:rsidR="00EB4FBB" w:rsidRPr="003E3DD2">
        <w:rPr>
          <w:rFonts w:asciiTheme="minorHAnsi" w:hAnsiTheme="minorHAnsi" w:cstheme="minorHAnsi"/>
          <w:szCs w:val="24"/>
        </w:rPr>
        <w:t xml:space="preserve">implement a </w:t>
      </w:r>
      <w:r w:rsidR="00AC417B" w:rsidRPr="003E3DD2">
        <w:rPr>
          <w:rFonts w:asciiTheme="minorHAnsi" w:hAnsiTheme="minorHAnsi" w:cstheme="minorHAnsi"/>
          <w:szCs w:val="24"/>
        </w:rPr>
        <w:t>safeguarding</w:t>
      </w:r>
      <w:r w:rsidR="00EB4FBB" w:rsidRPr="003E3DD2">
        <w:rPr>
          <w:rFonts w:asciiTheme="minorHAnsi" w:hAnsiTheme="minorHAnsi" w:cstheme="minorHAnsi"/>
          <w:szCs w:val="24"/>
        </w:rPr>
        <w:t xml:space="preserve"> </w:t>
      </w:r>
      <w:r w:rsidR="009F4B99">
        <w:rPr>
          <w:rFonts w:asciiTheme="minorHAnsi" w:hAnsiTheme="minorHAnsi" w:cstheme="minorHAnsi"/>
          <w:szCs w:val="24"/>
        </w:rPr>
        <w:t>program</w:t>
      </w:r>
      <w:r w:rsidR="00CC6E26" w:rsidRPr="003E3DD2">
        <w:rPr>
          <w:rFonts w:asciiTheme="minorHAnsi" w:hAnsiTheme="minorHAnsi" w:cstheme="minorHAnsi"/>
          <w:szCs w:val="24"/>
        </w:rPr>
        <w:t>,</w:t>
      </w:r>
      <w:r w:rsidR="009C3218" w:rsidRPr="003E3DD2">
        <w:rPr>
          <w:rFonts w:asciiTheme="minorHAnsi" w:hAnsiTheme="minorHAnsi" w:cstheme="minorHAnsi"/>
          <w:szCs w:val="24"/>
        </w:rPr>
        <w:t xml:space="preserve"> </w:t>
      </w:r>
      <w:r w:rsidR="000F0B2C" w:rsidRPr="003E3DD2">
        <w:rPr>
          <w:rFonts w:asciiTheme="minorHAnsi" w:hAnsiTheme="minorHAnsi" w:cstheme="minorHAnsi"/>
          <w:szCs w:val="24"/>
        </w:rPr>
        <w:t xml:space="preserve">modelled on the scheme </w:t>
      </w:r>
      <w:r w:rsidR="00CC6E26" w:rsidRPr="003E3DD2">
        <w:rPr>
          <w:rFonts w:asciiTheme="minorHAnsi" w:hAnsiTheme="minorHAnsi" w:cstheme="minorHAnsi"/>
          <w:szCs w:val="24"/>
        </w:rPr>
        <w:t>that</w:t>
      </w:r>
      <w:r w:rsidR="000F0B2C" w:rsidRPr="003E3DD2">
        <w:rPr>
          <w:rFonts w:asciiTheme="minorHAnsi" w:hAnsiTheme="minorHAnsi" w:cstheme="minorHAnsi"/>
          <w:szCs w:val="24"/>
        </w:rPr>
        <w:t xml:space="preserve"> is </w:t>
      </w:r>
      <w:r w:rsidR="00CC6E26" w:rsidRPr="003E3DD2">
        <w:rPr>
          <w:rFonts w:asciiTheme="minorHAnsi" w:hAnsiTheme="minorHAnsi" w:cstheme="minorHAnsi"/>
          <w:szCs w:val="24"/>
        </w:rPr>
        <w:t>currently</w:t>
      </w:r>
      <w:r w:rsidR="000F0B2C" w:rsidRPr="003E3DD2">
        <w:rPr>
          <w:rFonts w:asciiTheme="minorHAnsi" w:hAnsiTheme="minorHAnsi" w:cstheme="minorHAnsi"/>
          <w:szCs w:val="24"/>
        </w:rPr>
        <w:t xml:space="preserve"> </w:t>
      </w:r>
      <w:r w:rsidR="009C3218" w:rsidRPr="003E3DD2">
        <w:rPr>
          <w:rFonts w:asciiTheme="minorHAnsi" w:hAnsiTheme="minorHAnsi" w:cstheme="minorHAnsi"/>
          <w:szCs w:val="24"/>
        </w:rPr>
        <w:t>administered by the Office of the Public Advocat</w:t>
      </w:r>
      <w:r w:rsidR="0097702C" w:rsidRPr="003E3DD2">
        <w:rPr>
          <w:rFonts w:asciiTheme="minorHAnsi" w:hAnsiTheme="minorHAnsi" w:cstheme="minorHAnsi"/>
          <w:szCs w:val="24"/>
        </w:rPr>
        <w:t>e.</w:t>
      </w:r>
      <w:r w:rsidR="00F30AB3">
        <w:rPr>
          <w:rFonts w:asciiTheme="minorHAnsi" w:hAnsiTheme="minorHAnsi" w:cstheme="minorHAnsi"/>
          <w:szCs w:val="24"/>
        </w:rPr>
        <w:t xml:space="preserve"> </w:t>
      </w:r>
      <w:r w:rsidR="0097702C" w:rsidRPr="003E3DD2">
        <w:rPr>
          <w:rFonts w:asciiTheme="minorHAnsi" w:hAnsiTheme="minorHAnsi" w:cstheme="minorHAnsi"/>
          <w:szCs w:val="24"/>
        </w:rPr>
        <w:t xml:space="preserve"> This program plays a critical role in </w:t>
      </w:r>
      <w:r w:rsidR="00B73CD1" w:rsidRPr="003E3DD2">
        <w:rPr>
          <w:rFonts w:asciiTheme="minorHAnsi" w:hAnsiTheme="minorHAnsi" w:cstheme="minorHAnsi"/>
          <w:szCs w:val="24"/>
        </w:rPr>
        <w:t>monitoring Victorian</w:t>
      </w:r>
      <w:r w:rsidR="009C3218" w:rsidRPr="003E3DD2">
        <w:rPr>
          <w:rFonts w:asciiTheme="minorHAnsi" w:hAnsiTheme="minorHAnsi" w:cstheme="minorHAnsi"/>
          <w:szCs w:val="24"/>
        </w:rPr>
        <w:t xml:space="preserve"> disability accommodation services, supported residential services and mental health facilities</w:t>
      </w:r>
      <w:r w:rsidR="0097702C" w:rsidRPr="003E3DD2">
        <w:rPr>
          <w:rFonts w:asciiTheme="minorHAnsi" w:hAnsiTheme="minorHAnsi" w:cstheme="minorHAnsi"/>
          <w:szCs w:val="24"/>
        </w:rPr>
        <w:t xml:space="preserve"> to </w:t>
      </w:r>
      <w:r w:rsidR="002D294B" w:rsidRPr="003E3DD2">
        <w:rPr>
          <w:rFonts w:asciiTheme="minorHAnsi" w:hAnsiTheme="minorHAnsi" w:cstheme="minorHAnsi"/>
          <w:szCs w:val="24"/>
        </w:rPr>
        <w:t xml:space="preserve">hold them accountable and </w:t>
      </w:r>
      <w:r w:rsidR="0097702C" w:rsidRPr="003E3DD2">
        <w:rPr>
          <w:rFonts w:asciiTheme="minorHAnsi" w:hAnsiTheme="minorHAnsi" w:cstheme="minorHAnsi"/>
          <w:szCs w:val="24"/>
        </w:rPr>
        <w:t xml:space="preserve">ensure </w:t>
      </w:r>
      <w:r w:rsidR="00680114" w:rsidRPr="003E3DD2">
        <w:rPr>
          <w:rFonts w:asciiTheme="minorHAnsi" w:hAnsiTheme="minorHAnsi" w:cstheme="minorHAnsi"/>
          <w:szCs w:val="24"/>
        </w:rPr>
        <w:t xml:space="preserve">residents’ rights </w:t>
      </w:r>
      <w:r w:rsidR="009C3218" w:rsidRPr="003E3DD2">
        <w:rPr>
          <w:rFonts w:asciiTheme="minorHAnsi" w:hAnsiTheme="minorHAnsi" w:cstheme="minorHAnsi"/>
          <w:szCs w:val="24"/>
        </w:rPr>
        <w:t xml:space="preserve">are being </w:t>
      </w:r>
      <w:r w:rsidR="00680114" w:rsidRPr="003E3DD2">
        <w:rPr>
          <w:rFonts w:asciiTheme="minorHAnsi" w:hAnsiTheme="minorHAnsi" w:cstheme="minorHAnsi"/>
          <w:szCs w:val="24"/>
        </w:rPr>
        <w:t>upheld</w:t>
      </w:r>
      <w:r w:rsidR="006812F0" w:rsidRPr="003E3DD2">
        <w:rPr>
          <w:rFonts w:asciiTheme="minorHAnsi" w:hAnsiTheme="minorHAnsi" w:cstheme="minorHAnsi"/>
          <w:szCs w:val="24"/>
        </w:rPr>
        <w:t>.</w:t>
      </w:r>
      <w:r w:rsidR="00745273" w:rsidRPr="003E3DD2">
        <w:rPr>
          <w:rStyle w:val="EndnoteReference"/>
          <w:rFonts w:asciiTheme="minorHAnsi" w:hAnsiTheme="minorHAnsi" w:cstheme="minorHAnsi"/>
          <w:szCs w:val="24"/>
        </w:rPr>
        <w:endnoteReference w:id="4"/>
      </w:r>
    </w:p>
    <w:p w14:paraId="2AA83C3C" w14:textId="4A04EC81" w:rsidR="00F94384" w:rsidRPr="003E3DD2" w:rsidRDefault="00F94384" w:rsidP="003E3DD2">
      <w:pPr>
        <w:pStyle w:val="ListParagraph"/>
        <w:numPr>
          <w:ilvl w:val="0"/>
          <w:numId w:val="6"/>
        </w:numPr>
        <w:ind w:left="357" w:hanging="357"/>
        <w:rPr>
          <w:rFonts w:asciiTheme="minorHAnsi" w:hAnsiTheme="minorHAnsi" w:cstheme="minorHAnsi"/>
          <w:szCs w:val="24"/>
        </w:rPr>
      </w:pPr>
      <w:r w:rsidRPr="003E3DD2">
        <w:rPr>
          <w:rFonts w:asciiTheme="minorHAnsi" w:hAnsiTheme="minorHAnsi" w:cstheme="minorHAnsi"/>
          <w:szCs w:val="24"/>
        </w:rPr>
        <w:t>It is important to remember that o</w:t>
      </w:r>
      <w:r w:rsidR="00645BF8" w:rsidRPr="003E3DD2">
        <w:rPr>
          <w:rFonts w:asciiTheme="minorHAnsi" w:hAnsiTheme="minorHAnsi" w:cstheme="minorHAnsi"/>
          <w:szCs w:val="24"/>
        </w:rPr>
        <w:t xml:space="preserve">nly </w:t>
      </w:r>
      <w:r w:rsidR="00DA0265" w:rsidRPr="003E3DD2">
        <w:rPr>
          <w:rFonts w:asciiTheme="minorHAnsi" w:hAnsiTheme="minorHAnsi" w:cstheme="minorHAnsi"/>
          <w:szCs w:val="24"/>
        </w:rPr>
        <w:t xml:space="preserve">around 7% of older </w:t>
      </w:r>
      <w:r w:rsidR="00954E08" w:rsidRPr="003E3DD2">
        <w:rPr>
          <w:rFonts w:asciiTheme="minorHAnsi" w:hAnsiTheme="minorHAnsi" w:cstheme="minorHAnsi"/>
          <w:szCs w:val="24"/>
        </w:rPr>
        <w:t xml:space="preserve">people </w:t>
      </w:r>
      <w:r w:rsidR="00DA0265" w:rsidRPr="003E3DD2">
        <w:rPr>
          <w:rFonts w:asciiTheme="minorHAnsi" w:hAnsiTheme="minorHAnsi" w:cstheme="minorHAnsi"/>
          <w:szCs w:val="24"/>
        </w:rPr>
        <w:t>live in residential care.</w:t>
      </w:r>
      <w:r w:rsidR="00954E08" w:rsidRPr="003E3DD2">
        <w:rPr>
          <w:rStyle w:val="EndnoteReference"/>
          <w:rFonts w:asciiTheme="minorHAnsi" w:hAnsiTheme="minorHAnsi" w:cstheme="minorHAnsi"/>
          <w:szCs w:val="24"/>
        </w:rPr>
        <w:endnoteReference w:id="5"/>
      </w:r>
      <w:r w:rsidR="00954E08" w:rsidRPr="003E3DD2">
        <w:rPr>
          <w:rFonts w:asciiTheme="minorHAnsi" w:hAnsiTheme="minorHAnsi" w:cstheme="minorHAnsi"/>
          <w:szCs w:val="24"/>
        </w:rPr>
        <w:t xml:space="preserve"> </w:t>
      </w:r>
      <w:r w:rsidR="00DA0265" w:rsidRPr="003E3DD2">
        <w:rPr>
          <w:rFonts w:asciiTheme="minorHAnsi" w:hAnsiTheme="minorHAnsi" w:cstheme="minorHAnsi"/>
          <w:szCs w:val="24"/>
        </w:rPr>
        <w:t xml:space="preserve">The majority of older </w:t>
      </w:r>
      <w:r w:rsidR="00467ED4">
        <w:rPr>
          <w:rFonts w:asciiTheme="minorHAnsi" w:hAnsiTheme="minorHAnsi" w:cstheme="minorHAnsi"/>
          <w:szCs w:val="24"/>
        </w:rPr>
        <w:t>Victorians</w:t>
      </w:r>
      <w:r w:rsidR="00DA0265" w:rsidRPr="003E3DD2">
        <w:rPr>
          <w:rFonts w:asciiTheme="minorHAnsi" w:hAnsiTheme="minorHAnsi" w:cstheme="minorHAnsi"/>
          <w:szCs w:val="24"/>
        </w:rPr>
        <w:t xml:space="preserve"> either receive support in their own homes or do not receive Commonwealth funded aged care services at all</w:t>
      </w:r>
      <w:r w:rsidR="00645BF8" w:rsidRPr="003E3DD2">
        <w:rPr>
          <w:rFonts w:asciiTheme="minorHAnsi" w:hAnsiTheme="minorHAnsi" w:cstheme="minorHAnsi"/>
          <w:szCs w:val="24"/>
        </w:rPr>
        <w:t xml:space="preserve">. </w:t>
      </w:r>
    </w:p>
    <w:p w14:paraId="095A8A72" w14:textId="5167CB08" w:rsidR="00814367" w:rsidRPr="003E3DD2" w:rsidRDefault="00886136" w:rsidP="003E3DD2">
      <w:pPr>
        <w:pStyle w:val="ListParagraph"/>
        <w:numPr>
          <w:ilvl w:val="0"/>
          <w:numId w:val="6"/>
        </w:numPr>
        <w:ind w:left="357" w:hanging="357"/>
        <w:rPr>
          <w:rFonts w:asciiTheme="minorHAnsi" w:hAnsiTheme="minorHAnsi" w:cstheme="minorHAnsi"/>
          <w:szCs w:val="24"/>
        </w:rPr>
      </w:pPr>
      <w:r w:rsidRPr="003E3DD2">
        <w:rPr>
          <w:rFonts w:asciiTheme="minorHAnsi" w:hAnsiTheme="minorHAnsi" w:cstheme="minorHAnsi"/>
          <w:szCs w:val="24"/>
        </w:rPr>
        <w:t xml:space="preserve">Local </w:t>
      </w:r>
      <w:r w:rsidR="00BA404B">
        <w:rPr>
          <w:rFonts w:asciiTheme="minorHAnsi" w:hAnsiTheme="minorHAnsi" w:cstheme="minorHAnsi"/>
          <w:szCs w:val="24"/>
        </w:rPr>
        <w:t>Government has</w:t>
      </w:r>
      <w:r w:rsidRPr="003E3DD2">
        <w:rPr>
          <w:rFonts w:asciiTheme="minorHAnsi" w:hAnsiTheme="minorHAnsi" w:cstheme="minorHAnsi"/>
          <w:szCs w:val="24"/>
        </w:rPr>
        <w:t xml:space="preserve"> historically played a key role in providing services to support older peopl</w:t>
      </w:r>
      <w:r w:rsidR="00284044" w:rsidRPr="003E3DD2">
        <w:rPr>
          <w:rFonts w:asciiTheme="minorHAnsi" w:hAnsiTheme="minorHAnsi" w:cstheme="minorHAnsi"/>
          <w:szCs w:val="24"/>
        </w:rPr>
        <w:t>e</w:t>
      </w:r>
      <w:r w:rsidR="00A5791B" w:rsidRPr="003E3DD2">
        <w:rPr>
          <w:rFonts w:asciiTheme="minorHAnsi" w:hAnsiTheme="minorHAnsi" w:cstheme="minorHAnsi"/>
          <w:szCs w:val="24"/>
        </w:rPr>
        <w:t xml:space="preserve"> </w:t>
      </w:r>
      <w:r w:rsidR="00284044" w:rsidRPr="003E3DD2">
        <w:rPr>
          <w:rFonts w:asciiTheme="minorHAnsi" w:hAnsiTheme="minorHAnsi" w:cstheme="minorHAnsi"/>
          <w:szCs w:val="24"/>
        </w:rPr>
        <w:t xml:space="preserve">to remain </w:t>
      </w:r>
      <w:r w:rsidR="000F0B2C" w:rsidRPr="003E3DD2">
        <w:rPr>
          <w:rFonts w:asciiTheme="minorHAnsi" w:hAnsiTheme="minorHAnsi" w:cstheme="minorHAnsi"/>
          <w:szCs w:val="24"/>
        </w:rPr>
        <w:t xml:space="preserve">living </w:t>
      </w:r>
      <w:r w:rsidR="00284044" w:rsidRPr="003E3DD2">
        <w:rPr>
          <w:rFonts w:asciiTheme="minorHAnsi" w:hAnsiTheme="minorHAnsi" w:cstheme="minorHAnsi"/>
          <w:szCs w:val="24"/>
        </w:rPr>
        <w:t xml:space="preserve">in their </w:t>
      </w:r>
      <w:r w:rsidR="000F0B2C" w:rsidRPr="003E3DD2">
        <w:rPr>
          <w:rFonts w:asciiTheme="minorHAnsi" w:hAnsiTheme="minorHAnsi" w:cstheme="minorHAnsi"/>
          <w:szCs w:val="24"/>
        </w:rPr>
        <w:t xml:space="preserve">own </w:t>
      </w:r>
      <w:r w:rsidR="00284044" w:rsidRPr="003E3DD2">
        <w:rPr>
          <w:rFonts w:asciiTheme="minorHAnsi" w:hAnsiTheme="minorHAnsi" w:cstheme="minorHAnsi"/>
          <w:szCs w:val="24"/>
        </w:rPr>
        <w:t>home</w:t>
      </w:r>
      <w:r w:rsidR="00C311D2" w:rsidRPr="003E3DD2">
        <w:rPr>
          <w:rFonts w:asciiTheme="minorHAnsi" w:hAnsiTheme="minorHAnsi" w:cstheme="minorHAnsi"/>
          <w:szCs w:val="24"/>
        </w:rPr>
        <w:t xml:space="preserve">. </w:t>
      </w:r>
      <w:r w:rsidR="00F30AB3">
        <w:rPr>
          <w:rFonts w:asciiTheme="minorHAnsi" w:hAnsiTheme="minorHAnsi" w:cstheme="minorHAnsi"/>
          <w:szCs w:val="24"/>
        </w:rPr>
        <w:t xml:space="preserve"> </w:t>
      </w:r>
      <w:r w:rsidR="00C311D2" w:rsidRPr="003E3DD2">
        <w:rPr>
          <w:rFonts w:asciiTheme="minorHAnsi" w:hAnsiTheme="minorHAnsi" w:cstheme="minorHAnsi"/>
          <w:szCs w:val="24"/>
        </w:rPr>
        <w:t>While some</w:t>
      </w:r>
      <w:r w:rsidR="00A5791B" w:rsidRPr="003E3DD2">
        <w:rPr>
          <w:rFonts w:asciiTheme="minorHAnsi" w:hAnsiTheme="minorHAnsi" w:cstheme="minorHAnsi"/>
          <w:szCs w:val="24"/>
        </w:rPr>
        <w:t xml:space="preserve"> </w:t>
      </w:r>
      <w:r w:rsidR="00BA404B">
        <w:rPr>
          <w:rFonts w:asciiTheme="minorHAnsi" w:hAnsiTheme="minorHAnsi" w:cstheme="minorHAnsi"/>
          <w:szCs w:val="24"/>
        </w:rPr>
        <w:t>C</w:t>
      </w:r>
      <w:r w:rsidR="00A5791B" w:rsidRPr="003E3DD2">
        <w:rPr>
          <w:rFonts w:asciiTheme="minorHAnsi" w:hAnsiTheme="minorHAnsi" w:cstheme="minorHAnsi"/>
          <w:szCs w:val="24"/>
        </w:rPr>
        <w:t xml:space="preserve">ouncils </w:t>
      </w:r>
      <w:r w:rsidR="00C311D2" w:rsidRPr="003E3DD2">
        <w:rPr>
          <w:rFonts w:asciiTheme="minorHAnsi" w:hAnsiTheme="minorHAnsi" w:cstheme="minorHAnsi"/>
          <w:szCs w:val="24"/>
        </w:rPr>
        <w:t xml:space="preserve">have </w:t>
      </w:r>
      <w:r w:rsidR="00A5791B" w:rsidRPr="003E3DD2">
        <w:rPr>
          <w:rFonts w:asciiTheme="minorHAnsi" w:hAnsiTheme="minorHAnsi" w:cstheme="minorHAnsi"/>
          <w:szCs w:val="24"/>
        </w:rPr>
        <w:t>decided</w:t>
      </w:r>
      <w:r w:rsidR="00292ADD" w:rsidRPr="003E3DD2">
        <w:rPr>
          <w:rFonts w:asciiTheme="minorHAnsi" w:hAnsiTheme="minorHAnsi" w:cstheme="minorHAnsi"/>
          <w:szCs w:val="24"/>
        </w:rPr>
        <w:t xml:space="preserve"> to discontinue </w:t>
      </w:r>
      <w:r w:rsidR="00230BE6" w:rsidRPr="003E3DD2">
        <w:rPr>
          <w:rFonts w:asciiTheme="minorHAnsi" w:hAnsiTheme="minorHAnsi" w:cstheme="minorHAnsi"/>
          <w:szCs w:val="24"/>
        </w:rPr>
        <w:t xml:space="preserve">home care, others have continued to deliver services </w:t>
      </w:r>
      <w:r w:rsidR="00C311D2" w:rsidRPr="003E3DD2">
        <w:rPr>
          <w:rFonts w:asciiTheme="minorHAnsi" w:hAnsiTheme="minorHAnsi" w:cstheme="minorHAnsi"/>
          <w:szCs w:val="24"/>
        </w:rPr>
        <w:t>under the Commonwealth Home Support Program</w:t>
      </w:r>
      <w:r w:rsidR="001031C4" w:rsidRPr="003E3DD2">
        <w:rPr>
          <w:rFonts w:asciiTheme="minorHAnsi" w:hAnsiTheme="minorHAnsi" w:cstheme="minorHAnsi"/>
          <w:szCs w:val="24"/>
        </w:rPr>
        <w:t>me</w:t>
      </w:r>
      <w:r w:rsidR="00C311D2" w:rsidRPr="003E3DD2">
        <w:rPr>
          <w:rFonts w:asciiTheme="minorHAnsi" w:hAnsiTheme="minorHAnsi" w:cstheme="minorHAnsi"/>
          <w:szCs w:val="24"/>
        </w:rPr>
        <w:t xml:space="preserve"> (CHSP)</w:t>
      </w:r>
      <w:r w:rsidR="00292ADD" w:rsidRPr="003E3DD2">
        <w:rPr>
          <w:rFonts w:asciiTheme="minorHAnsi" w:hAnsiTheme="minorHAnsi" w:cstheme="minorHAnsi"/>
          <w:szCs w:val="24"/>
        </w:rPr>
        <w:t>.</w:t>
      </w:r>
      <w:r w:rsidR="00F30AB3">
        <w:rPr>
          <w:rFonts w:asciiTheme="minorHAnsi" w:hAnsiTheme="minorHAnsi" w:cstheme="minorHAnsi"/>
          <w:szCs w:val="24"/>
        </w:rPr>
        <w:t xml:space="preserve"> </w:t>
      </w:r>
      <w:r w:rsidR="00292ADD" w:rsidRPr="003E3DD2">
        <w:rPr>
          <w:rFonts w:asciiTheme="minorHAnsi" w:hAnsiTheme="minorHAnsi" w:cstheme="minorHAnsi"/>
          <w:szCs w:val="24"/>
        </w:rPr>
        <w:t xml:space="preserve"> Locally delivered services operated by Councils are held in high regard by </w:t>
      </w:r>
      <w:r w:rsidR="00811B25" w:rsidRPr="003E3DD2">
        <w:rPr>
          <w:rFonts w:asciiTheme="minorHAnsi" w:hAnsiTheme="minorHAnsi" w:cstheme="minorHAnsi"/>
          <w:szCs w:val="24"/>
        </w:rPr>
        <w:t>many</w:t>
      </w:r>
      <w:r w:rsidR="00292ADD" w:rsidRPr="003E3DD2">
        <w:rPr>
          <w:rFonts w:asciiTheme="minorHAnsi" w:hAnsiTheme="minorHAnsi" w:cstheme="minorHAnsi"/>
          <w:szCs w:val="24"/>
        </w:rPr>
        <w:t xml:space="preserve"> older Victorian</w:t>
      </w:r>
      <w:r w:rsidR="005F2A44" w:rsidRPr="003E3DD2">
        <w:rPr>
          <w:rFonts w:asciiTheme="minorHAnsi" w:hAnsiTheme="minorHAnsi" w:cstheme="minorHAnsi"/>
          <w:szCs w:val="24"/>
        </w:rPr>
        <w:t>s</w:t>
      </w:r>
      <w:r w:rsidR="00B73CD1" w:rsidRPr="003E3DD2">
        <w:rPr>
          <w:rFonts w:asciiTheme="minorHAnsi" w:hAnsiTheme="minorHAnsi" w:cstheme="minorHAnsi"/>
          <w:szCs w:val="24"/>
        </w:rPr>
        <w:t xml:space="preserve"> and t</w:t>
      </w:r>
      <w:r w:rsidR="00292ADD" w:rsidRPr="003E3DD2">
        <w:rPr>
          <w:rFonts w:asciiTheme="minorHAnsi" w:hAnsiTheme="minorHAnsi" w:cstheme="minorHAnsi"/>
          <w:szCs w:val="24"/>
        </w:rPr>
        <w:t>here is strong demand for the</w:t>
      </w:r>
      <w:r w:rsidR="00A5791B" w:rsidRPr="003E3DD2">
        <w:rPr>
          <w:rFonts w:asciiTheme="minorHAnsi" w:hAnsiTheme="minorHAnsi" w:cstheme="minorHAnsi"/>
          <w:szCs w:val="24"/>
        </w:rPr>
        <w:t>m</w:t>
      </w:r>
      <w:r w:rsidR="00292ADD" w:rsidRPr="003E3DD2">
        <w:rPr>
          <w:rFonts w:asciiTheme="minorHAnsi" w:hAnsiTheme="minorHAnsi" w:cstheme="minorHAnsi"/>
          <w:szCs w:val="24"/>
        </w:rPr>
        <w:t xml:space="preserve"> to continue. </w:t>
      </w:r>
      <w:r w:rsidR="002E0167" w:rsidRPr="003E3DD2">
        <w:rPr>
          <w:rFonts w:asciiTheme="minorHAnsi" w:hAnsiTheme="minorHAnsi" w:cstheme="minorHAnsi"/>
          <w:szCs w:val="24"/>
        </w:rPr>
        <w:t xml:space="preserve">While </w:t>
      </w:r>
      <w:r w:rsidR="007370A9" w:rsidRPr="003E3DD2">
        <w:rPr>
          <w:rFonts w:asciiTheme="minorHAnsi" w:hAnsiTheme="minorHAnsi" w:cstheme="minorHAnsi"/>
          <w:szCs w:val="24"/>
        </w:rPr>
        <w:t xml:space="preserve">home based aged care services will be reformed </w:t>
      </w:r>
      <w:r w:rsidR="002E0167" w:rsidRPr="003E3DD2">
        <w:rPr>
          <w:rFonts w:asciiTheme="minorHAnsi" w:hAnsiTheme="minorHAnsi" w:cstheme="minorHAnsi"/>
          <w:szCs w:val="24"/>
        </w:rPr>
        <w:t xml:space="preserve">over the next few years, </w:t>
      </w:r>
      <w:r w:rsidR="00BA404B">
        <w:rPr>
          <w:rFonts w:asciiTheme="minorHAnsi" w:hAnsiTheme="minorHAnsi" w:cstheme="minorHAnsi"/>
          <w:szCs w:val="24"/>
        </w:rPr>
        <w:t>C</w:t>
      </w:r>
      <w:r w:rsidR="00A5791B" w:rsidRPr="003E3DD2">
        <w:rPr>
          <w:rFonts w:asciiTheme="minorHAnsi" w:hAnsiTheme="minorHAnsi" w:cstheme="minorHAnsi"/>
          <w:szCs w:val="24"/>
        </w:rPr>
        <w:t xml:space="preserve">ouncils that </w:t>
      </w:r>
      <w:r w:rsidR="00292ADD" w:rsidRPr="003E3DD2">
        <w:rPr>
          <w:rFonts w:asciiTheme="minorHAnsi" w:hAnsiTheme="minorHAnsi" w:cstheme="minorHAnsi"/>
          <w:szCs w:val="24"/>
        </w:rPr>
        <w:t xml:space="preserve">are delivering services already have a trusted </w:t>
      </w:r>
      <w:r w:rsidR="00C311D2" w:rsidRPr="003E3DD2">
        <w:rPr>
          <w:rFonts w:asciiTheme="minorHAnsi" w:hAnsiTheme="minorHAnsi" w:cstheme="minorHAnsi"/>
          <w:szCs w:val="24"/>
        </w:rPr>
        <w:t xml:space="preserve">home care workforce that could be utilised </w:t>
      </w:r>
      <w:r w:rsidR="00292ADD" w:rsidRPr="003E3DD2">
        <w:rPr>
          <w:rFonts w:asciiTheme="minorHAnsi" w:hAnsiTheme="minorHAnsi" w:cstheme="minorHAnsi"/>
          <w:szCs w:val="24"/>
        </w:rPr>
        <w:t xml:space="preserve">under the new aged </w:t>
      </w:r>
      <w:r w:rsidR="002E0167" w:rsidRPr="003E3DD2">
        <w:rPr>
          <w:rFonts w:asciiTheme="minorHAnsi" w:hAnsiTheme="minorHAnsi" w:cstheme="minorHAnsi"/>
          <w:szCs w:val="24"/>
        </w:rPr>
        <w:t>care framewor</w:t>
      </w:r>
      <w:r w:rsidR="00DA0265" w:rsidRPr="003E3DD2">
        <w:rPr>
          <w:rFonts w:asciiTheme="minorHAnsi" w:hAnsiTheme="minorHAnsi" w:cstheme="minorHAnsi"/>
          <w:szCs w:val="24"/>
        </w:rPr>
        <w:t>k</w:t>
      </w:r>
      <w:r w:rsidR="002B606E" w:rsidRPr="003E3DD2">
        <w:rPr>
          <w:rFonts w:asciiTheme="minorHAnsi" w:hAnsiTheme="minorHAnsi" w:cstheme="minorHAnsi"/>
          <w:szCs w:val="24"/>
        </w:rPr>
        <w:t xml:space="preserve">. </w:t>
      </w:r>
      <w:r w:rsidR="00F30AB3">
        <w:rPr>
          <w:rFonts w:asciiTheme="minorHAnsi" w:hAnsiTheme="minorHAnsi" w:cstheme="minorHAnsi"/>
          <w:szCs w:val="24"/>
        </w:rPr>
        <w:t xml:space="preserve"> </w:t>
      </w:r>
      <w:r w:rsidR="002B606E" w:rsidRPr="003E3DD2">
        <w:rPr>
          <w:rFonts w:asciiTheme="minorHAnsi" w:hAnsiTheme="minorHAnsi" w:cstheme="minorHAnsi"/>
          <w:szCs w:val="24"/>
        </w:rPr>
        <w:t>At present, however, National Competition Policy prevents Councils from using rates to subsidise the cost of aged care services.</w:t>
      </w:r>
      <w:r w:rsidR="00CD6527" w:rsidRPr="003E3DD2">
        <w:rPr>
          <w:rStyle w:val="EndnoteReference"/>
          <w:rFonts w:asciiTheme="minorHAnsi" w:hAnsiTheme="minorHAnsi" w:cstheme="minorHAnsi"/>
          <w:szCs w:val="24"/>
        </w:rPr>
        <w:endnoteReference w:id="6"/>
      </w:r>
      <w:r w:rsidR="002B606E" w:rsidRPr="003E3DD2">
        <w:rPr>
          <w:rFonts w:asciiTheme="minorHAnsi" w:hAnsiTheme="minorHAnsi" w:cstheme="minorHAnsi"/>
          <w:szCs w:val="24"/>
        </w:rPr>
        <w:t xml:space="preserve"> </w:t>
      </w:r>
      <w:r w:rsidR="00F30AB3">
        <w:rPr>
          <w:rFonts w:asciiTheme="minorHAnsi" w:hAnsiTheme="minorHAnsi" w:cstheme="minorHAnsi"/>
          <w:szCs w:val="24"/>
        </w:rPr>
        <w:t xml:space="preserve"> </w:t>
      </w:r>
      <w:r w:rsidR="002B606E" w:rsidRPr="003E3DD2">
        <w:rPr>
          <w:rFonts w:asciiTheme="minorHAnsi" w:hAnsiTheme="minorHAnsi" w:cstheme="minorHAnsi"/>
          <w:szCs w:val="24"/>
        </w:rPr>
        <w:t xml:space="preserve">This will make it untenable for many Councils to continue providing services into the future. </w:t>
      </w:r>
    </w:p>
    <w:p w14:paraId="49587E0F" w14:textId="04359DE7" w:rsidR="00814367" w:rsidRPr="003E3DD2" w:rsidRDefault="00814367" w:rsidP="003E3DD2">
      <w:pPr>
        <w:pStyle w:val="ListParagraph"/>
        <w:numPr>
          <w:ilvl w:val="0"/>
          <w:numId w:val="6"/>
        </w:numPr>
        <w:ind w:left="357" w:hanging="357"/>
        <w:rPr>
          <w:rFonts w:asciiTheme="minorHAnsi" w:hAnsiTheme="minorHAnsi" w:cstheme="minorHAnsi"/>
          <w:szCs w:val="24"/>
        </w:rPr>
      </w:pPr>
      <w:r w:rsidRPr="003E3DD2">
        <w:rPr>
          <w:rFonts w:asciiTheme="minorHAnsi" w:hAnsiTheme="minorHAnsi" w:cstheme="minorHAnsi"/>
          <w:szCs w:val="24"/>
          <w:shd w:val="clear" w:color="auto" w:fill="FFFFFF"/>
        </w:rPr>
        <w:t xml:space="preserve">Many </w:t>
      </w:r>
      <w:r w:rsidR="00BA404B">
        <w:rPr>
          <w:rFonts w:asciiTheme="minorHAnsi" w:hAnsiTheme="minorHAnsi" w:cstheme="minorHAnsi"/>
          <w:szCs w:val="24"/>
          <w:shd w:val="clear" w:color="auto" w:fill="FFFFFF"/>
        </w:rPr>
        <w:t>C</w:t>
      </w:r>
      <w:r w:rsidR="00A5791B" w:rsidRPr="003E3DD2">
        <w:rPr>
          <w:rFonts w:asciiTheme="minorHAnsi" w:hAnsiTheme="minorHAnsi" w:cstheme="minorHAnsi"/>
          <w:szCs w:val="24"/>
          <w:shd w:val="clear" w:color="auto" w:fill="FFFFFF"/>
        </w:rPr>
        <w:t xml:space="preserve">ouncils </w:t>
      </w:r>
      <w:r w:rsidR="00A7619E" w:rsidRPr="003E3DD2">
        <w:rPr>
          <w:rFonts w:asciiTheme="minorHAnsi" w:hAnsiTheme="minorHAnsi" w:cstheme="minorHAnsi"/>
          <w:szCs w:val="24"/>
          <w:shd w:val="clear" w:color="auto" w:fill="FFFFFF"/>
        </w:rPr>
        <w:t xml:space="preserve">also provide important </w:t>
      </w:r>
      <w:r w:rsidRPr="003E3DD2">
        <w:rPr>
          <w:rFonts w:asciiTheme="minorHAnsi" w:hAnsiTheme="minorHAnsi" w:cstheme="minorHAnsi"/>
          <w:szCs w:val="24"/>
          <w:shd w:val="clear" w:color="auto" w:fill="FFFFFF"/>
        </w:rPr>
        <w:t>programs to address social isolation and promote health and wellbeing among older adults</w:t>
      </w:r>
      <w:r w:rsidR="00BE0C67" w:rsidRPr="003E3DD2">
        <w:rPr>
          <w:rFonts w:asciiTheme="minorHAnsi" w:hAnsiTheme="minorHAnsi" w:cstheme="minorHAnsi"/>
          <w:szCs w:val="24"/>
          <w:shd w:val="clear" w:color="auto" w:fill="FFFFFF"/>
        </w:rPr>
        <w:t xml:space="preserve">. </w:t>
      </w:r>
      <w:r w:rsidR="00F30AB3">
        <w:rPr>
          <w:rFonts w:asciiTheme="minorHAnsi" w:hAnsiTheme="minorHAnsi" w:cstheme="minorHAnsi"/>
          <w:szCs w:val="24"/>
          <w:shd w:val="clear" w:color="auto" w:fill="FFFFFF"/>
        </w:rPr>
        <w:t xml:space="preserve"> </w:t>
      </w:r>
      <w:r w:rsidR="001B60EA" w:rsidRPr="003E3DD2">
        <w:rPr>
          <w:rFonts w:asciiTheme="minorHAnsi" w:hAnsiTheme="minorHAnsi" w:cstheme="minorHAnsi"/>
          <w:szCs w:val="24"/>
          <w:shd w:val="clear" w:color="auto" w:fill="FFFFFF"/>
        </w:rPr>
        <w:t xml:space="preserve">In a survey conducted by COTA </w:t>
      </w:r>
      <w:r w:rsidR="00B73CD1" w:rsidRPr="003E3DD2">
        <w:rPr>
          <w:rFonts w:asciiTheme="minorHAnsi" w:hAnsiTheme="minorHAnsi" w:cstheme="minorHAnsi"/>
          <w:szCs w:val="24"/>
          <w:shd w:val="clear" w:color="auto" w:fill="FFFFFF"/>
        </w:rPr>
        <w:t>Victoria in</w:t>
      </w:r>
      <w:r w:rsidR="001B60EA" w:rsidRPr="003E3DD2">
        <w:rPr>
          <w:rFonts w:asciiTheme="minorHAnsi" w:hAnsiTheme="minorHAnsi" w:cstheme="minorHAnsi"/>
          <w:szCs w:val="24"/>
          <w:shd w:val="clear" w:color="auto" w:fill="FFFFFF"/>
        </w:rPr>
        <w:t xml:space="preserve"> 2020, </w:t>
      </w:r>
      <w:r w:rsidR="00A5791B" w:rsidRPr="003E3DD2">
        <w:rPr>
          <w:rFonts w:asciiTheme="minorHAnsi" w:hAnsiTheme="minorHAnsi" w:cstheme="minorHAnsi"/>
          <w:szCs w:val="24"/>
          <w:shd w:val="clear" w:color="auto" w:fill="FFFFFF"/>
        </w:rPr>
        <w:t xml:space="preserve">almost </w:t>
      </w:r>
      <w:r w:rsidR="001B60EA" w:rsidRPr="003E3DD2">
        <w:rPr>
          <w:rFonts w:asciiTheme="minorHAnsi" w:hAnsiTheme="minorHAnsi" w:cstheme="minorHAnsi"/>
          <w:szCs w:val="24"/>
          <w:shd w:val="clear" w:color="auto" w:fill="FFFFFF"/>
        </w:rPr>
        <w:t xml:space="preserve">half of respondents told us that social isolation and loneliness </w:t>
      </w:r>
      <w:r w:rsidR="00CD6527" w:rsidRPr="003E3DD2">
        <w:rPr>
          <w:rFonts w:asciiTheme="minorHAnsi" w:hAnsiTheme="minorHAnsi" w:cstheme="minorHAnsi"/>
          <w:szCs w:val="24"/>
          <w:shd w:val="clear" w:color="auto" w:fill="FFFFFF"/>
        </w:rPr>
        <w:t xml:space="preserve">had been </w:t>
      </w:r>
      <w:r w:rsidR="001B60EA" w:rsidRPr="003E3DD2">
        <w:rPr>
          <w:rFonts w:asciiTheme="minorHAnsi" w:hAnsiTheme="minorHAnsi" w:cstheme="minorHAnsi"/>
          <w:szCs w:val="24"/>
          <w:shd w:val="clear" w:color="auto" w:fill="FFFFFF"/>
        </w:rPr>
        <w:t>key source</w:t>
      </w:r>
      <w:r w:rsidR="006166DF" w:rsidRPr="003E3DD2">
        <w:rPr>
          <w:rFonts w:asciiTheme="minorHAnsi" w:hAnsiTheme="minorHAnsi" w:cstheme="minorHAnsi"/>
          <w:szCs w:val="24"/>
          <w:shd w:val="clear" w:color="auto" w:fill="FFFFFF"/>
        </w:rPr>
        <w:t>s</w:t>
      </w:r>
      <w:r w:rsidR="001B60EA" w:rsidRPr="003E3DD2">
        <w:rPr>
          <w:rFonts w:asciiTheme="minorHAnsi" w:hAnsiTheme="minorHAnsi" w:cstheme="minorHAnsi"/>
          <w:szCs w:val="24"/>
          <w:shd w:val="clear" w:color="auto" w:fill="FFFFFF"/>
        </w:rPr>
        <w:t xml:space="preserve"> of concern for them during the </w:t>
      </w:r>
      <w:r w:rsidR="00F94384" w:rsidRPr="003E3DD2">
        <w:rPr>
          <w:rFonts w:asciiTheme="minorHAnsi" w:hAnsiTheme="minorHAnsi" w:cstheme="minorHAnsi"/>
          <w:szCs w:val="24"/>
          <w:shd w:val="clear" w:color="auto" w:fill="FFFFFF"/>
        </w:rPr>
        <w:t xml:space="preserve">COVID-19 </w:t>
      </w:r>
      <w:r w:rsidR="001B60EA" w:rsidRPr="003E3DD2">
        <w:rPr>
          <w:rFonts w:asciiTheme="minorHAnsi" w:hAnsiTheme="minorHAnsi" w:cstheme="minorHAnsi"/>
          <w:szCs w:val="24"/>
          <w:shd w:val="clear" w:color="auto" w:fill="FFFFFF"/>
        </w:rPr>
        <w:t>pandemic.</w:t>
      </w:r>
      <w:r w:rsidR="00557738" w:rsidRPr="003E3DD2">
        <w:rPr>
          <w:rStyle w:val="EndnoteReference"/>
          <w:rFonts w:asciiTheme="minorHAnsi" w:hAnsiTheme="minorHAnsi" w:cstheme="minorHAnsi"/>
          <w:szCs w:val="24"/>
          <w:shd w:val="clear" w:color="auto" w:fill="FFFFFF"/>
        </w:rPr>
        <w:endnoteReference w:id="7"/>
      </w:r>
      <w:r w:rsidR="001B60EA" w:rsidRPr="003E3DD2">
        <w:rPr>
          <w:rFonts w:asciiTheme="minorHAnsi" w:hAnsiTheme="minorHAnsi" w:cstheme="minorHAnsi"/>
          <w:szCs w:val="24"/>
          <w:shd w:val="clear" w:color="auto" w:fill="FFFFFF"/>
        </w:rPr>
        <w:t xml:space="preserve"> </w:t>
      </w:r>
      <w:r w:rsidR="00F30AB3">
        <w:rPr>
          <w:rFonts w:asciiTheme="minorHAnsi" w:hAnsiTheme="minorHAnsi" w:cstheme="minorHAnsi"/>
          <w:szCs w:val="24"/>
          <w:shd w:val="clear" w:color="auto" w:fill="FFFFFF"/>
        </w:rPr>
        <w:t xml:space="preserve"> </w:t>
      </w:r>
      <w:r w:rsidR="00A23AC9" w:rsidRPr="003E3DD2">
        <w:rPr>
          <w:rFonts w:asciiTheme="minorHAnsi" w:hAnsiTheme="minorHAnsi" w:cstheme="minorHAnsi"/>
          <w:szCs w:val="24"/>
          <w:shd w:val="clear" w:color="auto" w:fill="FFFFFF"/>
        </w:rPr>
        <w:t xml:space="preserve">This is all the more concerning when considering that </w:t>
      </w:r>
      <w:r w:rsidR="005D60C8" w:rsidRPr="003E3DD2">
        <w:rPr>
          <w:rFonts w:asciiTheme="minorHAnsi" w:hAnsiTheme="minorHAnsi" w:cstheme="minorHAnsi"/>
          <w:szCs w:val="24"/>
          <w:shd w:val="clear" w:color="auto" w:fill="FFFFFF"/>
        </w:rPr>
        <w:t>social</w:t>
      </w:r>
      <w:r w:rsidR="00A5791B" w:rsidRPr="003E3DD2">
        <w:rPr>
          <w:rFonts w:asciiTheme="minorHAnsi" w:hAnsiTheme="minorHAnsi" w:cstheme="minorHAnsi"/>
          <w:szCs w:val="24"/>
          <w:shd w:val="clear" w:color="auto" w:fill="FFFFFF"/>
        </w:rPr>
        <w:t xml:space="preserve"> </w:t>
      </w:r>
      <w:r w:rsidR="00BE0C67" w:rsidRPr="003E3DD2">
        <w:rPr>
          <w:rFonts w:asciiTheme="minorHAnsi" w:hAnsiTheme="minorHAnsi" w:cstheme="minorHAnsi"/>
          <w:szCs w:val="24"/>
          <w:shd w:val="clear" w:color="auto" w:fill="FFFFFF"/>
        </w:rPr>
        <w:t>isolation and loneliness have been linked to a range of health problems including mental illness, emotional distress, suicide, dementia, high blood pressure, lowered immunity and premature death</w:t>
      </w:r>
      <w:r w:rsidR="001B60EA" w:rsidRPr="003E3DD2">
        <w:rPr>
          <w:rFonts w:asciiTheme="minorHAnsi" w:hAnsiTheme="minorHAnsi" w:cstheme="minorHAnsi"/>
          <w:szCs w:val="24"/>
          <w:shd w:val="clear" w:color="auto" w:fill="FFFFFF"/>
        </w:rPr>
        <w:t>.</w:t>
      </w:r>
      <w:r w:rsidR="007D04D2" w:rsidRPr="003E3DD2">
        <w:rPr>
          <w:rStyle w:val="EndnoteReference"/>
          <w:rFonts w:asciiTheme="minorHAnsi" w:hAnsiTheme="minorHAnsi" w:cstheme="minorHAnsi"/>
          <w:szCs w:val="24"/>
          <w:shd w:val="clear" w:color="auto" w:fill="FFFFFF"/>
        </w:rPr>
        <w:endnoteReference w:id="8"/>
      </w:r>
    </w:p>
    <w:p w14:paraId="5EC93208" w14:textId="77777777" w:rsidR="00FF0F73" w:rsidRPr="00FF0F73" w:rsidRDefault="00F42C19" w:rsidP="003E3DD2">
      <w:pPr>
        <w:pStyle w:val="ListParagraph"/>
        <w:numPr>
          <w:ilvl w:val="0"/>
          <w:numId w:val="6"/>
        </w:numPr>
        <w:spacing w:before="240"/>
        <w:ind w:left="357" w:hanging="357"/>
        <w:rPr>
          <w:rFonts w:asciiTheme="minorHAnsi" w:hAnsiTheme="minorHAnsi" w:cstheme="minorHAnsi"/>
          <w:szCs w:val="24"/>
        </w:rPr>
      </w:pPr>
      <w:r w:rsidRPr="003E3DD2">
        <w:rPr>
          <w:rFonts w:asciiTheme="minorHAnsi" w:hAnsiTheme="minorHAnsi" w:cstheme="minorHAnsi"/>
          <w:szCs w:val="24"/>
        </w:rPr>
        <w:t xml:space="preserve">Transport </w:t>
      </w:r>
      <w:r w:rsidR="00513EAE" w:rsidRPr="003E3DD2">
        <w:rPr>
          <w:rFonts w:asciiTheme="minorHAnsi" w:hAnsiTheme="minorHAnsi" w:cstheme="minorHAnsi"/>
          <w:szCs w:val="24"/>
        </w:rPr>
        <w:t xml:space="preserve">plays a major role in determining an individual's level of social and civic participation, as well as access to health and community services. </w:t>
      </w:r>
      <w:r w:rsidR="00F30AB3">
        <w:rPr>
          <w:rFonts w:asciiTheme="minorHAnsi" w:hAnsiTheme="minorHAnsi" w:cstheme="minorHAnsi"/>
          <w:szCs w:val="24"/>
        </w:rPr>
        <w:t xml:space="preserve"> </w:t>
      </w:r>
      <w:r w:rsidRPr="003E3DD2">
        <w:rPr>
          <w:rFonts w:asciiTheme="minorHAnsi" w:hAnsiTheme="minorHAnsi" w:cstheme="minorHAnsi"/>
          <w:szCs w:val="24"/>
        </w:rPr>
        <w:t xml:space="preserve">As such, </w:t>
      </w:r>
      <w:r w:rsidR="00513EAE" w:rsidRPr="003E3DD2">
        <w:rPr>
          <w:rFonts w:asciiTheme="minorHAnsi" w:hAnsiTheme="minorHAnsi" w:cstheme="minorHAnsi"/>
          <w:szCs w:val="24"/>
        </w:rPr>
        <w:t>older people who cannot drive risk being disconnected from their local communities if affordable alternatives are not provided.</w:t>
      </w:r>
      <w:r w:rsidR="002E58FA" w:rsidRPr="003E3DD2">
        <w:rPr>
          <w:rStyle w:val="EndnoteReference"/>
          <w:rFonts w:asciiTheme="minorHAnsi" w:hAnsiTheme="minorHAnsi" w:cstheme="minorHAnsi"/>
          <w:szCs w:val="24"/>
        </w:rPr>
        <w:endnoteReference w:id="9"/>
      </w:r>
      <w:r w:rsidR="00F30AB3">
        <w:rPr>
          <w:rFonts w:asciiTheme="minorHAnsi" w:hAnsiTheme="minorHAnsi" w:cstheme="minorHAnsi"/>
          <w:szCs w:val="24"/>
        </w:rPr>
        <w:t xml:space="preserve"> </w:t>
      </w:r>
      <w:r w:rsidRPr="003E3DD2">
        <w:rPr>
          <w:rFonts w:asciiTheme="minorHAnsi" w:hAnsiTheme="minorHAnsi" w:cstheme="minorHAnsi"/>
          <w:i/>
          <w:iCs/>
          <w:color w:val="505050"/>
          <w:szCs w:val="24"/>
          <w:shd w:val="clear" w:color="auto" w:fill="FFFFFF"/>
        </w:rPr>
        <w:t xml:space="preserve"> </w:t>
      </w:r>
    </w:p>
    <w:p w14:paraId="5716E454" w14:textId="22CE48BD" w:rsidR="00F42C19" w:rsidRPr="003E3DD2" w:rsidRDefault="00F37A72" w:rsidP="00FF0F73">
      <w:pPr>
        <w:pStyle w:val="ListParagraph"/>
        <w:spacing w:before="240"/>
        <w:ind w:left="357"/>
        <w:rPr>
          <w:rFonts w:asciiTheme="minorHAnsi" w:hAnsiTheme="minorHAnsi" w:cstheme="minorHAnsi"/>
          <w:szCs w:val="24"/>
        </w:rPr>
      </w:pPr>
      <w:r w:rsidRPr="003E3DD2">
        <w:rPr>
          <w:rFonts w:asciiTheme="minorHAnsi" w:hAnsiTheme="minorHAnsi" w:cstheme="minorHAnsi"/>
          <w:szCs w:val="24"/>
        </w:rPr>
        <w:t xml:space="preserve">While community </w:t>
      </w:r>
      <w:r w:rsidR="00F42C19" w:rsidRPr="003E3DD2">
        <w:rPr>
          <w:rFonts w:asciiTheme="minorHAnsi" w:hAnsiTheme="minorHAnsi" w:cstheme="minorHAnsi"/>
          <w:szCs w:val="24"/>
        </w:rPr>
        <w:t xml:space="preserve">transport has been identified as a vital form of affordable door-to-door transport for </w:t>
      </w:r>
      <w:r w:rsidR="00811B25" w:rsidRPr="003E3DD2">
        <w:rPr>
          <w:rFonts w:asciiTheme="minorHAnsi" w:hAnsiTheme="minorHAnsi" w:cstheme="minorHAnsi"/>
          <w:szCs w:val="24"/>
        </w:rPr>
        <w:t xml:space="preserve">many </w:t>
      </w:r>
      <w:r w:rsidRPr="003E3DD2">
        <w:rPr>
          <w:rFonts w:asciiTheme="minorHAnsi" w:hAnsiTheme="minorHAnsi" w:cstheme="minorHAnsi"/>
          <w:szCs w:val="24"/>
        </w:rPr>
        <w:t>older people,</w:t>
      </w:r>
      <w:r w:rsidRPr="003E3DD2">
        <w:rPr>
          <w:rFonts w:asciiTheme="minorHAnsi" w:hAnsiTheme="minorHAnsi" w:cstheme="minorHAnsi"/>
          <w:i/>
          <w:iCs/>
          <w:color w:val="505050"/>
          <w:szCs w:val="24"/>
          <w:shd w:val="clear" w:color="auto" w:fill="FFFFFF"/>
        </w:rPr>
        <w:t xml:space="preserve"> </w:t>
      </w:r>
      <w:r w:rsidRPr="003E3DD2">
        <w:rPr>
          <w:rFonts w:asciiTheme="minorHAnsi" w:hAnsiTheme="minorHAnsi" w:cstheme="minorHAnsi"/>
          <w:szCs w:val="24"/>
        </w:rPr>
        <w:t xml:space="preserve">Victoria’s Community Transport system is </w:t>
      </w:r>
      <w:r w:rsidR="00DD3758" w:rsidRPr="003E3DD2">
        <w:rPr>
          <w:rFonts w:asciiTheme="minorHAnsi" w:hAnsiTheme="minorHAnsi" w:cstheme="minorHAnsi"/>
          <w:szCs w:val="24"/>
        </w:rPr>
        <w:t xml:space="preserve">significantly </w:t>
      </w:r>
      <w:r w:rsidRPr="003E3DD2">
        <w:rPr>
          <w:rFonts w:asciiTheme="minorHAnsi" w:hAnsiTheme="minorHAnsi" w:cstheme="minorHAnsi"/>
          <w:szCs w:val="24"/>
        </w:rPr>
        <w:t>underfunded an</w:t>
      </w:r>
      <w:r w:rsidR="00DD3758" w:rsidRPr="003E3DD2">
        <w:rPr>
          <w:rFonts w:asciiTheme="minorHAnsi" w:hAnsiTheme="minorHAnsi" w:cstheme="minorHAnsi"/>
          <w:szCs w:val="24"/>
        </w:rPr>
        <w:t xml:space="preserve">d unable to </w:t>
      </w:r>
      <w:r w:rsidR="003C5792" w:rsidRPr="003E3DD2">
        <w:rPr>
          <w:rFonts w:asciiTheme="minorHAnsi" w:hAnsiTheme="minorHAnsi" w:cstheme="minorHAnsi"/>
          <w:szCs w:val="24"/>
        </w:rPr>
        <w:t xml:space="preserve">keep up with </w:t>
      </w:r>
      <w:r w:rsidR="00DD3758" w:rsidRPr="003E3DD2">
        <w:rPr>
          <w:rFonts w:asciiTheme="minorHAnsi" w:hAnsiTheme="minorHAnsi" w:cstheme="minorHAnsi"/>
          <w:szCs w:val="24"/>
        </w:rPr>
        <w:t>consumer demand</w:t>
      </w:r>
      <w:r w:rsidRPr="003E3DD2">
        <w:rPr>
          <w:rFonts w:asciiTheme="minorHAnsi" w:hAnsiTheme="minorHAnsi" w:cstheme="minorHAnsi"/>
          <w:szCs w:val="24"/>
        </w:rPr>
        <w:t>.</w:t>
      </w:r>
      <w:r w:rsidR="000C2223" w:rsidRPr="003E3DD2">
        <w:rPr>
          <w:rStyle w:val="EndnoteReference"/>
          <w:rFonts w:asciiTheme="minorHAnsi" w:hAnsiTheme="minorHAnsi" w:cstheme="minorHAnsi"/>
          <w:szCs w:val="24"/>
        </w:rPr>
        <w:endnoteReference w:id="10"/>
      </w:r>
    </w:p>
    <w:p w14:paraId="40E2F845" w14:textId="385D7425" w:rsidR="002208AD" w:rsidRPr="003E3DD2" w:rsidRDefault="00B73CD1" w:rsidP="003E3DD2">
      <w:pPr>
        <w:pStyle w:val="ListParagraph"/>
        <w:numPr>
          <w:ilvl w:val="0"/>
          <w:numId w:val="6"/>
        </w:numPr>
        <w:spacing w:before="240"/>
        <w:ind w:left="357" w:hanging="357"/>
        <w:rPr>
          <w:rFonts w:asciiTheme="minorHAnsi" w:hAnsiTheme="minorHAnsi" w:cstheme="minorHAnsi"/>
          <w:szCs w:val="24"/>
        </w:rPr>
      </w:pPr>
      <w:r w:rsidRPr="003E3DD2">
        <w:rPr>
          <w:rFonts w:asciiTheme="minorHAnsi" w:hAnsiTheme="minorHAnsi" w:cstheme="minorHAnsi"/>
          <w:szCs w:val="24"/>
          <w:shd w:val="clear" w:color="auto" w:fill="FFFFFF"/>
        </w:rPr>
        <w:lastRenderedPageBreak/>
        <w:t>Many o</w:t>
      </w:r>
      <w:r w:rsidR="00F42C19" w:rsidRPr="003E3DD2">
        <w:rPr>
          <w:rFonts w:asciiTheme="minorHAnsi" w:hAnsiTheme="minorHAnsi" w:cstheme="minorHAnsi"/>
          <w:szCs w:val="24"/>
          <w:shd w:val="clear" w:color="auto" w:fill="FFFFFF"/>
        </w:rPr>
        <w:t xml:space="preserve">lder </w:t>
      </w:r>
      <w:r w:rsidR="0047578B" w:rsidRPr="003E3DD2">
        <w:rPr>
          <w:rFonts w:asciiTheme="minorHAnsi" w:hAnsiTheme="minorHAnsi" w:cstheme="minorHAnsi"/>
          <w:szCs w:val="24"/>
          <w:shd w:val="clear" w:color="auto" w:fill="FFFFFF"/>
        </w:rPr>
        <w:t xml:space="preserve">people </w:t>
      </w:r>
      <w:r w:rsidRPr="003E3DD2">
        <w:rPr>
          <w:rFonts w:asciiTheme="minorHAnsi" w:hAnsiTheme="minorHAnsi" w:cstheme="minorHAnsi"/>
          <w:szCs w:val="24"/>
          <w:shd w:val="clear" w:color="auto" w:fill="FFFFFF"/>
        </w:rPr>
        <w:t xml:space="preserve">still </w:t>
      </w:r>
      <w:r w:rsidR="002208AD" w:rsidRPr="003E3DD2">
        <w:rPr>
          <w:rFonts w:asciiTheme="minorHAnsi" w:hAnsiTheme="minorHAnsi" w:cstheme="minorHAnsi"/>
          <w:szCs w:val="24"/>
          <w:shd w:val="clear" w:color="auto" w:fill="FFFFFF"/>
        </w:rPr>
        <w:t xml:space="preserve">experience ongoing </w:t>
      </w:r>
      <w:r w:rsidR="00F0097F" w:rsidRPr="003E3DD2">
        <w:rPr>
          <w:rFonts w:asciiTheme="minorHAnsi" w:hAnsiTheme="minorHAnsi" w:cstheme="minorHAnsi"/>
          <w:szCs w:val="24"/>
          <w:shd w:val="clear" w:color="auto" w:fill="FFFFFF"/>
        </w:rPr>
        <w:t xml:space="preserve">barriers to accessing </w:t>
      </w:r>
      <w:r w:rsidR="002208AD" w:rsidRPr="003E3DD2">
        <w:rPr>
          <w:rFonts w:asciiTheme="minorHAnsi" w:hAnsiTheme="minorHAnsi" w:cstheme="minorHAnsi"/>
          <w:szCs w:val="24"/>
          <w:shd w:val="clear" w:color="auto" w:fill="FFFFFF"/>
        </w:rPr>
        <w:t>continuity of care across health services. Key challenges include:</w:t>
      </w:r>
    </w:p>
    <w:p w14:paraId="495FA4AE" w14:textId="4F81A4D3" w:rsidR="00153C90" w:rsidRPr="003E3DD2" w:rsidRDefault="00153C90" w:rsidP="007B20D6">
      <w:pPr>
        <w:pStyle w:val="ListParagraph"/>
        <w:numPr>
          <w:ilvl w:val="1"/>
          <w:numId w:val="28"/>
        </w:numPr>
        <w:ind w:left="1077" w:hanging="357"/>
        <w:rPr>
          <w:rFonts w:asciiTheme="minorHAnsi" w:hAnsiTheme="minorHAnsi" w:cstheme="minorHAnsi"/>
          <w:szCs w:val="24"/>
        </w:rPr>
      </w:pPr>
      <w:r w:rsidRPr="003E3DD2">
        <w:rPr>
          <w:rFonts w:asciiTheme="minorHAnsi" w:hAnsiTheme="minorHAnsi" w:cstheme="minorHAnsi"/>
          <w:szCs w:val="24"/>
        </w:rPr>
        <w:t>Lack of transition care to ensure people are properly supported once they have been discharged from hospital</w:t>
      </w:r>
    </w:p>
    <w:p w14:paraId="2C742E0F" w14:textId="3B9D0FCA" w:rsidR="00153C90" w:rsidRPr="003E3DD2" w:rsidRDefault="0053734A" w:rsidP="007B20D6">
      <w:pPr>
        <w:pStyle w:val="ListParagraph"/>
        <w:numPr>
          <w:ilvl w:val="1"/>
          <w:numId w:val="28"/>
        </w:numPr>
        <w:ind w:left="1077" w:hanging="357"/>
        <w:rPr>
          <w:rFonts w:asciiTheme="minorHAnsi" w:hAnsiTheme="minorHAnsi" w:cstheme="minorHAnsi"/>
          <w:szCs w:val="24"/>
        </w:rPr>
      </w:pPr>
      <w:r w:rsidRPr="003E3DD2">
        <w:rPr>
          <w:rFonts w:asciiTheme="minorHAnsi" w:hAnsiTheme="minorHAnsi" w:cstheme="minorHAnsi"/>
          <w:szCs w:val="24"/>
        </w:rPr>
        <w:t>P</w:t>
      </w:r>
      <w:r w:rsidR="002208AD" w:rsidRPr="003E3DD2">
        <w:rPr>
          <w:rFonts w:asciiTheme="minorHAnsi" w:hAnsiTheme="minorHAnsi" w:cstheme="minorHAnsi"/>
          <w:szCs w:val="24"/>
        </w:rPr>
        <w:t xml:space="preserve">oor </w:t>
      </w:r>
      <w:r w:rsidR="003B794E" w:rsidRPr="003E3DD2">
        <w:rPr>
          <w:rFonts w:asciiTheme="minorHAnsi" w:hAnsiTheme="minorHAnsi" w:cstheme="minorHAnsi"/>
          <w:szCs w:val="24"/>
        </w:rPr>
        <w:t xml:space="preserve">communication between residential care </w:t>
      </w:r>
      <w:r w:rsidR="002208AD" w:rsidRPr="003E3DD2">
        <w:rPr>
          <w:rFonts w:asciiTheme="minorHAnsi" w:hAnsiTheme="minorHAnsi" w:cstheme="minorHAnsi"/>
          <w:szCs w:val="24"/>
        </w:rPr>
        <w:t xml:space="preserve">facilities </w:t>
      </w:r>
      <w:r w:rsidR="003B794E" w:rsidRPr="003E3DD2">
        <w:rPr>
          <w:rFonts w:asciiTheme="minorHAnsi" w:hAnsiTheme="minorHAnsi" w:cstheme="minorHAnsi"/>
          <w:szCs w:val="24"/>
        </w:rPr>
        <w:t xml:space="preserve">and </w:t>
      </w:r>
      <w:r w:rsidR="002208AD" w:rsidRPr="003E3DD2">
        <w:rPr>
          <w:rFonts w:asciiTheme="minorHAnsi" w:hAnsiTheme="minorHAnsi" w:cstheme="minorHAnsi"/>
          <w:szCs w:val="24"/>
        </w:rPr>
        <w:t xml:space="preserve">other health services such as </w:t>
      </w:r>
      <w:r w:rsidR="003B794E" w:rsidRPr="003E3DD2">
        <w:rPr>
          <w:rFonts w:asciiTheme="minorHAnsi" w:hAnsiTheme="minorHAnsi" w:cstheme="minorHAnsi"/>
          <w:szCs w:val="24"/>
        </w:rPr>
        <w:t>GP</w:t>
      </w:r>
      <w:r w:rsidR="002208AD" w:rsidRPr="003E3DD2">
        <w:rPr>
          <w:rFonts w:asciiTheme="minorHAnsi" w:hAnsiTheme="minorHAnsi" w:cstheme="minorHAnsi"/>
          <w:szCs w:val="24"/>
        </w:rPr>
        <w:t xml:space="preserve">s, </w:t>
      </w:r>
      <w:r w:rsidR="003B794E" w:rsidRPr="003E3DD2">
        <w:rPr>
          <w:rFonts w:asciiTheme="minorHAnsi" w:hAnsiTheme="minorHAnsi" w:cstheme="minorHAnsi"/>
          <w:szCs w:val="24"/>
        </w:rPr>
        <w:t>hospitals</w:t>
      </w:r>
      <w:r w:rsidR="002208AD" w:rsidRPr="003E3DD2">
        <w:rPr>
          <w:rFonts w:asciiTheme="minorHAnsi" w:hAnsiTheme="minorHAnsi" w:cstheme="minorHAnsi"/>
          <w:szCs w:val="24"/>
        </w:rPr>
        <w:t xml:space="preserve"> and allied health</w:t>
      </w:r>
      <w:r w:rsidR="00B73CD1" w:rsidRPr="003E3DD2">
        <w:rPr>
          <w:rFonts w:asciiTheme="minorHAnsi" w:hAnsiTheme="minorHAnsi" w:cstheme="minorHAnsi"/>
          <w:szCs w:val="24"/>
        </w:rPr>
        <w:t xml:space="preserve"> services</w:t>
      </w:r>
    </w:p>
    <w:p w14:paraId="27465821" w14:textId="137389C2" w:rsidR="0053734A" w:rsidRPr="003E3DD2" w:rsidRDefault="0053734A" w:rsidP="007B20D6">
      <w:pPr>
        <w:pStyle w:val="ListParagraph"/>
        <w:numPr>
          <w:ilvl w:val="1"/>
          <w:numId w:val="28"/>
        </w:numPr>
        <w:ind w:left="1077" w:hanging="357"/>
        <w:rPr>
          <w:rFonts w:asciiTheme="minorHAnsi" w:hAnsiTheme="minorHAnsi" w:cstheme="minorHAnsi"/>
          <w:szCs w:val="24"/>
        </w:rPr>
      </w:pPr>
      <w:r w:rsidRPr="003E3DD2">
        <w:rPr>
          <w:rFonts w:asciiTheme="minorHAnsi" w:hAnsiTheme="minorHAnsi" w:cstheme="minorHAnsi"/>
          <w:szCs w:val="24"/>
        </w:rPr>
        <w:t>Language or other cultural barriers</w:t>
      </w:r>
    </w:p>
    <w:p w14:paraId="5DA0A574" w14:textId="7F481F0C" w:rsidR="0053734A" w:rsidRPr="003E3DD2" w:rsidRDefault="0053734A" w:rsidP="007B20D6">
      <w:pPr>
        <w:pStyle w:val="ListParagraph"/>
        <w:numPr>
          <w:ilvl w:val="1"/>
          <w:numId w:val="28"/>
        </w:numPr>
        <w:ind w:left="1077" w:hanging="357"/>
        <w:rPr>
          <w:rFonts w:asciiTheme="minorHAnsi" w:hAnsiTheme="minorHAnsi" w:cstheme="minorHAnsi"/>
          <w:szCs w:val="24"/>
        </w:rPr>
      </w:pPr>
      <w:r w:rsidRPr="003E3DD2">
        <w:rPr>
          <w:rFonts w:asciiTheme="minorHAnsi" w:hAnsiTheme="minorHAnsi" w:cstheme="minorHAnsi"/>
          <w:szCs w:val="24"/>
        </w:rPr>
        <w:t xml:space="preserve">The inability of some older people to access </w:t>
      </w:r>
      <w:r w:rsidR="00811B25" w:rsidRPr="003E3DD2">
        <w:rPr>
          <w:rFonts w:asciiTheme="minorHAnsi" w:hAnsiTheme="minorHAnsi" w:cstheme="minorHAnsi"/>
          <w:szCs w:val="24"/>
        </w:rPr>
        <w:t xml:space="preserve">digital technology </w:t>
      </w:r>
      <w:r w:rsidRPr="003E3DD2">
        <w:rPr>
          <w:rFonts w:asciiTheme="minorHAnsi" w:hAnsiTheme="minorHAnsi" w:cstheme="minorHAnsi"/>
          <w:szCs w:val="24"/>
        </w:rPr>
        <w:t>to book or attend appointments.</w:t>
      </w:r>
    </w:p>
    <w:p w14:paraId="56D205FC" w14:textId="5144CD5F" w:rsidR="007A7118" w:rsidRPr="003E3DD2" w:rsidRDefault="005D6A4D" w:rsidP="003E3DD2">
      <w:pPr>
        <w:pStyle w:val="ListParagraph"/>
        <w:numPr>
          <w:ilvl w:val="0"/>
          <w:numId w:val="6"/>
        </w:numPr>
        <w:ind w:left="357" w:hanging="357"/>
        <w:rPr>
          <w:rFonts w:asciiTheme="minorHAnsi" w:hAnsiTheme="minorHAnsi" w:cstheme="minorHAnsi"/>
          <w:szCs w:val="24"/>
        </w:rPr>
      </w:pPr>
      <w:r w:rsidRPr="003E3DD2">
        <w:rPr>
          <w:rFonts w:asciiTheme="minorHAnsi" w:hAnsiTheme="minorHAnsi" w:cstheme="minorHAnsi"/>
          <w:szCs w:val="24"/>
        </w:rPr>
        <w:t xml:space="preserve">Good oral health is </w:t>
      </w:r>
      <w:r w:rsidR="00AA04E4" w:rsidRPr="003E3DD2">
        <w:rPr>
          <w:rFonts w:asciiTheme="minorHAnsi" w:hAnsiTheme="minorHAnsi" w:cstheme="minorHAnsi"/>
          <w:szCs w:val="24"/>
        </w:rPr>
        <w:t>essential to</w:t>
      </w:r>
      <w:r w:rsidRPr="003E3DD2">
        <w:rPr>
          <w:rFonts w:asciiTheme="minorHAnsi" w:hAnsiTheme="minorHAnsi" w:cstheme="minorHAnsi"/>
          <w:szCs w:val="24"/>
        </w:rPr>
        <w:t xml:space="preserve"> </w:t>
      </w:r>
      <w:r w:rsidR="00AA04E4" w:rsidRPr="003E3DD2">
        <w:rPr>
          <w:rFonts w:asciiTheme="minorHAnsi" w:hAnsiTheme="minorHAnsi" w:cstheme="minorHAnsi"/>
          <w:szCs w:val="24"/>
        </w:rPr>
        <w:t xml:space="preserve">maintaining good </w:t>
      </w:r>
      <w:r w:rsidRPr="003E3DD2">
        <w:rPr>
          <w:rFonts w:asciiTheme="minorHAnsi" w:hAnsiTheme="minorHAnsi" w:cstheme="minorHAnsi"/>
          <w:szCs w:val="24"/>
        </w:rPr>
        <w:t xml:space="preserve">health and wellbeing. </w:t>
      </w:r>
      <w:r w:rsidR="00F30AB3">
        <w:rPr>
          <w:rFonts w:asciiTheme="minorHAnsi" w:hAnsiTheme="minorHAnsi" w:cstheme="minorHAnsi"/>
          <w:szCs w:val="24"/>
        </w:rPr>
        <w:t xml:space="preserve"> </w:t>
      </w:r>
      <w:r w:rsidRPr="003E3DD2">
        <w:rPr>
          <w:rFonts w:asciiTheme="minorHAnsi" w:hAnsiTheme="minorHAnsi" w:cstheme="minorHAnsi"/>
          <w:szCs w:val="24"/>
        </w:rPr>
        <w:t>Unfortunately, m</w:t>
      </w:r>
      <w:r w:rsidR="007D19A5" w:rsidRPr="003E3DD2">
        <w:rPr>
          <w:rFonts w:asciiTheme="minorHAnsi" w:hAnsiTheme="minorHAnsi" w:cstheme="minorHAnsi"/>
          <w:szCs w:val="24"/>
        </w:rPr>
        <w:t>any older Victorians continue to experience pain and discomfort, the onset of secondary health conditions and poor nutrition as a result of not having timely access to affordable dental care.</w:t>
      </w:r>
      <w:r w:rsidR="00901ECE" w:rsidRPr="003E3DD2">
        <w:rPr>
          <w:rStyle w:val="EndnoteReference"/>
          <w:rFonts w:asciiTheme="minorHAnsi" w:hAnsiTheme="minorHAnsi" w:cstheme="minorHAnsi"/>
          <w:szCs w:val="24"/>
        </w:rPr>
        <w:endnoteReference w:id="11"/>
      </w:r>
      <w:r w:rsidR="009552AC" w:rsidRPr="003E3DD2">
        <w:rPr>
          <w:rFonts w:asciiTheme="minorHAnsi" w:hAnsiTheme="minorHAnsi" w:cstheme="minorHAnsi"/>
          <w:szCs w:val="24"/>
        </w:rPr>
        <w:t xml:space="preserve"> </w:t>
      </w:r>
      <w:r w:rsidR="00F30AB3">
        <w:rPr>
          <w:rFonts w:asciiTheme="minorHAnsi" w:hAnsiTheme="minorHAnsi" w:cstheme="minorHAnsi"/>
          <w:szCs w:val="24"/>
        </w:rPr>
        <w:t xml:space="preserve"> </w:t>
      </w:r>
      <w:r w:rsidR="009552AC" w:rsidRPr="003E3DD2">
        <w:rPr>
          <w:rFonts w:asciiTheme="minorHAnsi" w:hAnsiTheme="minorHAnsi" w:cstheme="minorHAnsi"/>
          <w:szCs w:val="24"/>
        </w:rPr>
        <w:t xml:space="preserve">This </w:t>
      </w:r>
      <w:r w:rsidR="00C3321C" w:rsidRPr="003E3DD2">
        <w:rPr>
          <w:rFonts w:asciiTheme="minorHAnsi" w:hAnsiTheme="minorHAnsi" w:cstheme="minorHAnsi"/>
          <w:szCs w:val="24"/>
        </w:rPr>
        <w:t xml:space="preserve">situation continues to </w:t>
      </w:r>
      <w:r w:rsidR="009552AC" w:rsidRPr="003E3DD2">
        <w:rPr>
          <w:rFonts w:asciiTheme="minorHAnsi" w:hAnsiTheme="minorHAnsi" w:cstheme="minorHAnsi"/>
          <w:szCs w:val="24"/>
        </w:rPr>
        <w:t xml:space="preserve">severely compromise </w:t>
      </w:r>
      <w:r w:rsidR="00C3321C" w:rsidRPr="003E3DD2">
        <w:rPr>
          <w:rFonts w:asciiTheme="minorHAnsi" w:hAnsiTheme="minorHAnsi" w:cstheme="minorHAnsi"/>
          <w:szCs w:val="24"/>
        </w:rPr>
        <w:t xml:space="preserve">peoples’ </w:t>
      </w:r>
      <w:r w:rsidR="009552AC" w:rsidRPr="003E3DD2">
        <w:rPr>
          <w:rFonts w:asciiTheme="minorHAnsi" w:hAnsiTheme="minorHAnsi" w:cstheme="minorHAnsi"/>
          <w:szCs w:val="24"/>
        </w:rPr>
        <w:t>quality of life</w:t>
      </w:r>
      <w:r w:rsidR="006166DF" w:rsidRPr="003E3DD2">
        <w:rPr>
          <w:rFonts w:asciiTheme="minorHAnsi" w:hAnsiTheme="minorHAnsi" w:cstheme="minorHAnsi"/>
          <w:szCs w:val="24"/>
        </w:rPr>
        <w:t xml:space="preserve"> as they age</w:t>
      </w:r>
      <w:r w:rsidR="00960091" w:rsidRPr="003E3DD2">
        <w:rPr>
          <w:rFonts w:asciiTheme="minorHAnsi" w:hAnsiTheme="minorHAnsi" w:cstheme="minorHAnsi"/>
          <w:szCs w:val="24"/>
        </w:rPr>
        <w:t xml:space="preserve">. </w:t>
      </w:r>
      <w:r w:rsidR="00F30AB3">
        <w:rPr>
          <w:rFonts w:asciiTheme="minorHAnsi" w:hAnsiTheme="minorHAnsi" w:cstheme="minorHAnsi"/>
          <w:szCs w:val="24"/>
        </w:rPr>
        <w:t xml:space="preserve"> </w:t>
      </w:r>
      <w:r w:rsidR="00960091" w:rsidRPr="003E3DD2">
        <w:rPr>
          <w:rFonts w:asciiTheme="minorHAnsi" w:hAnsiTheme="minorHAnsi" w:cstheme="minorHAnsi"/>
          <w:szCs w:val="24"/>
        </w:rPr>
        <w:t xml:space="preserve">While </w:t>
      </w:r>
      <w:r w:rsidR="002D29A8">
        <w:rPr>
          <w:rFonts w:asciiTheme="minorHAnsi" w:hAnsiTheme="minorHAnsi" w:cstheme="minorHAnsi"/>
          <w:szCs w:val="24"/>
        </w:rPr>
        <w:t xml:space="preserve">some older people are able to access free or low cost care through </w:t>
      </w:r>
      <w:r w:rsidR="00960091" w:rsidRPr="003E3DD2">
        <w:rPr>
          <w:rFonts w:asciiTheme="minorHAnsi" w:hAnsiTheme="minorHAnsi" w:cstheme="minorHAnsi"/>
          <w:szCs w:val="24"/>
        </w:rPr>
        <w:t>Dental Health Services Victoria</w:t>
      </w:r>
      <w:r w:rsidR="002D29A8">
        <w:rPr>
          <w:rFonts w:asciiTheme="minorHAnsi" w:hAnsiTheme="minorHAnsi" w:cstheme="minorHAnsi"/>
          <w:szCs w:val="24"/>
        </w:rPr>
        <w:t xml:space="preserve">, they can currently wait up to 30 months to access </w:t>
      </w:r>
      <w:r w:rsidR="00960091" w:rsidRPr="003E3DD2">
        <w:rPr>
          <w:rFonts w:asciiTheme="minorHAnsi" w:hAnsiTheme="minorHAnsi" w:cstheme="minorHAnsi"/>
          <w:szCs w:val="24"/>
        </w:rPr>
        <w:t>thi</w:t>
      </w:r>
      <w:r w:rsidR="002D29A8">
        <w:rPr>
          <w:rFonts w:asciiTheme="minorHAnsi" w:hAnsiTheme="minorHAnsi" w:cstheme="minorHAnsi"/>
          <w:szCs w:val="24"/>
        </w:rPr>
        <w:t>s support.</w:t>
      </w:r>
      <w:r w:rsidR="00CF1CEA" w:rsidRPr="003E3DD2">
        <w:rPr>
          <w:rStyle w:val="EndnoteReference"/>
          <w:rFonts w:asciiTheme="minorHAnsi" w:hAnsiTheme="minorHAnsi" w:cstheme="minorHAnsi"/>
          <w:szCs w:val="24"/>
        </w:rPr>
        <w:endnoteReference w:id="12"/>
      </w:r>
      <w:r w:rsidR="00BA404B" w:rsidRPr="00BA404B">
        <w:rPr>
          <w:rFonts w:asciiTheme="minorHAnsi" w:hAnsiTheme="minorHAnsi" w:cs="Calibri (Body)"/>
          <w:szCs w:val="24"/>
          <w:vertAlign w:val="superscript"/>
        </w:rPr>
        <w:t>,</w:t>
      </w:r>
      <w:r w:rsidR="0023188F">
        <w:rPr>
          <w:rStyle w:val="EndnoteReference"/>
          <w:rFonts w:asciiTheme="minorHAnsi" w:hAnsiTheme="minorHAnsi" w:cstheme="minorHAnsi"/>
          <w:szCs w:val="24"/>
        </w:rPr>
        <w:endnoteReference w:id="13"/>
      </w:r>
    </w:p>
    <w:p w14:paraId="59DED696" w14:textId="24D2F585" w:rsidR="00513EAE" w:rsidRPr="003E3DD2" w:rsidRDefault="0040096E" w:rsidP="003E3DD2">
      <w:pPr>
        <w:pStyle w:val="ListParagraph"/>
        <w:numPr>
          <w:ilvl w:val="0"/>
          <w:numId w:val="6"/>
        </w:numPr>
        <w:spacing w:before="240"/>
        <w:ind w:left="357" w:hanging="357"/>
        <w:rPr>
          <w:rFonts w:asciiTheme="minorHAnsi" w:hAnsiTheme="minorHAnsi" w:cstheme="minorHAnsi"/>
          <w:szCs w:val="24"/>
        </w:rPr>
      </w:pPr>
      <w:r w:rsidRPr="003E3DD2">
        <w:rPr>
          <w:rFonts w:asciiTheme="minorHAnsi" w:hAnsiTheme="minorHAnsi" w:cstheme="minorHAnsi"/>
          <w:szCs w:val="24"/>
        </w:rPr>
        <w:t xml:space="preserve">Older people can experience unique risk factors for mental illness that are associated with their stage of life. </w:t>
      </w:r>
      <w:r w:rsidR="00F30AB3">
        <w:rPr>
          <w:rFonts w:asciiTheme="minorHAnsi" w:hAnsiTheme="minorHAnsi" w:cstheme="minorHAnsi"/>
          <w:szCs w:val="24"/>
        </w:rPr>
        <w:t xml:space="preserve"> </w:t>
      </w:r>
      <w:r w:rsidRPr="003E3DD2">
        <w:rPr>
          <w:rFonts w:asciiTheme="minorHAnsi" w:hAnsiTheme="minorHAnsi" w:cstheme="minorHAnsi"/>
          <w:szCs w:val="24"/>
        </w:rPr>
        <w:t>Despite this fact, older people still encounter a range of barriers to accessing appropriate mental health services.</w:t>
      </w:r>
      <w:r w:rsidR="00F30AB3">
        <w:rPr>
          <w:rFonts w:asciiTheme="minorHAnsi" w:hAnsiTheme="minorHAnsi" w:cstheme="minorHAnsi"/>
          <w:szCs w:val="24"/>
        </w:rPr>
        <w:t xml:space="preserve"> </w:t>
      </w:r>
      <w:r w:rsidRPr="003E3DD2">
        <w:rPr>
          <w:rFonts w:asciiTheme="minorHAnsi" w:hAnsiTheme="minorHAnsi" w:cstheme="minorHAnsi"/>
          <w:szCs w:val="24"/>
        </w:rPr>
        <w:t xml:space="preserve"> </w:t>
      </w:r>
      <w:r w:rsidR="00F30AB3">
        <w:rPr>
          <w:rFonts w:asciiTheme="minorHAnsi" w:hAnsiTheme="minorHAnsi" w:cstheme="minorHAnsi"/>
          <w:szCs w:val="24"/>
        </w:rPr>
        <w:t>I</w:t>
      </w:r>
      <w:r w:rsidRPr="003E3DD2">
        <w:rPr>
          <w:rFonts w:asciiTheme="minorHAnsi" w:hAnsiTheme="minorHAnsi" w:cstheme="minorHAnsi"/>
          <w:szCs w:val="24"/>
        </w:rPr>
        <w:t xml:space="preserve">n 2019–20, 46 to 55 per cent of older Victorians experiencing mental illness did not receive the services they </w:t>
      </w:r>
      <w:r w:rsidR="003A09FA" w:rsidRPr="003E3DD2">
        <w:rPr>
          <w:rFonts w:asciiTheme="minorHAnsi" w:hAnsiTheme="minorHAnsi" w:cstheme="minorHAnsi"/>
          <w:szCs w:val="24"/>
        </w:rPr>
        <w:t>needed</w:t>
      </w:r>
      <w:r w:rsidRPr="003E3DD2">
        <w:rPr>
          <w:rFonts w:asciiTheme="minorHAnsi" w:hAnsiTheme="minorHAnsi" w:cstheme="minorHAnsi"/>
          <w:szCs w:val="24"/>
        </w:rPr>
        <w:t>.</w:t>
      </w:r>
      <w:r w:rsidR="003A09FA" w:rsidRPr="003E3DD2">
        <w:rPr>
          <w:rStyle w:val="EndnoteReference"/>
          <w:rFonts w:asciiTheme="minorHAnsi" w:hAnsiTheme="minorHAnsi" w:cstheme="minorHAnsi"/>
          <w:szCs w:val="24"/>
        </w:rPr>
        <w:endnoteReference w:id="14"/>
      </w:r>
      <w:r w:rsidRPr="003E3DD2">
        <w:rPr>
          <w:rFonts w:asciiTheme="minorHAnsi" w:hAnsiTheme="minorHAnsi" w:cstheme="minorHAnsi"/>
          <w:szCs w:val="24"/>
        </w:rPr>
        <w:t xml:space="preserve"> </w:t>
      </w:r>
      <w:r w:rsidR="00F30AB3">
        <w:rPr>
          <w:rFonts w:asciiTheme="minorHAnsi" w:hAnsiTheme="minorHAnsi" w:cstheme="minorHAnsi"/>
          <w:szCs w:val="24"/>
        </w:rPr>
        <w:t xml:space="preserve"> </w:t>
      </w:r>
      <w:r w:rsidR="008F77DC" w:rsidRPr="003E3DD2">
        <w:rPr>
          <w:rFonts w:asciiTheme="minorHAnsi" w:hAnsiTheme="minorHAnsi" w:cstheme="minorHAnsi"/>
          <w:szCs w:val="24"/>
        </w:rPr>
        <w:t xml:space="preserve">We are </w:t>
      </w:r>
      <w:r w:rsidR="00E3771F" w:rsidRPr="003E3DD2">
        <w:rPr>
          <w:rFonts w:asciiTheme="minorHAnsi" w:hAnsiTheme="minorHAnsi" w:cstheme="minorHAnsi"/>
          <w:szCs w:val="24"/>
        </w:rPr>
        <w:t xml:space="preserve">encouraged </w:t>
      </w:r>
      <w:r w:rsidR="008F77DC" w:rsidRPr="003E3DD2">
        <w:rPr>
          <w:rFonts w:asciiTheme="minorHAnsi" w:hAnsiTheme="minorHAnsi" w:cstheme="minorHAnsi"/>
          <w:szCs w:val="24"/>
        </w:rPr>
        <w:t xml:space="preserve">by the recommendations that came out of the Royal Commission into Victoria’s Mental Health System. </w:t>
      </w:r>
      <w:r w:rsidR="00F30AB3">
        <w:rPr>
          <w:rFonts w:asciiTheme="minorHAnsi" w:hAnsiTheme="minorHAnsi" w:cstheme="minorHAnsi"/>
          <w:szCs w:val="24"/>
        </w:rPr>
        <w:t xml:space="preserve"> </w:t>
      </w:r>
      <w:r w:rsidR="00513EAE" w:rsidRPr="003E3DD2">
        <w:rPr>
          <w:rFonts w:asciiTheme="minorHAnsi" w:hAnsiTheme="minorHAnsi" w:cstheme="minorHAnsi"/>
          <w:szCs w:val="24"/>
        </w:rPr>
        <w:t xml:space="preserve">We look forward to being actively </w:t>
      </w:r>
      <w:r w:rsidR="008F77DC" w:rsidRPr="003E3DD2">
        <w:rPr>
          <w:rFonts w:asciiTheme="minorHAnsi" w:hAnsiTheme="minorHAnsi" w:cstheme="minorHAnsi"/>
          <w:szCs w:val="24"/>
        </w:rPr>
        <w:t xml:space="preserve">involved </w:t>
      </w:r>
      <w:r w:rsidR="00513EAE" w:rsidRPr="003E3DD2">
        <w:rPr>
          <w:rFonts w:asciiTheme="minorHAnsi" w:hAnsiTheme="minorHAnsi" w:cstheme="minorHAnsi"/>
          <w:szCs w:val="24"/>
        </w:rPr>
        <w:t xml:space="preserve">in </w:t>
      </w:r>
      <w:r w:rsidR="008F77DC" w:rsidRPr="003E3DD2">
        <w:rPr>
          <w:rFonts w:asciiTheme="minorHAnsi" w:hAnsiTheme="minorHAnsi" w:cstheme="minorHAnsi"/>
          <w:szCs w:val="24"/>
        </w:rPr>
        <w:t xml:space="preserve">the implementation of these recommendations </w:t>
      </w:r>
      <w:r w:rsidR="00513EAE" w:rsidRPr="003E3DD2">
        <w:rPr>
          <w:rFonts w:asciiTheme="minorHAnsi" w:hAnsiTheme="minorHAnsi" w:cstheme="minorHAnsi"/>
          <w:szCs w:val="24"/>
        </w:rPr>
        <w:t xml:space="preserve">to ensure </w:t>
      </w:r>
      <w:r w:rsidR="008F77DC" w:rsidRPr="003E3DD2">
        <w:rPr>
          <w:rFonts w:asciiTheme="minorHAnsi" w:hAnsiTheme="minorHAnsi" w:cstheme="minorHAnsi"/>
          <w:szCs w:val="24"/>
        </w:rPr>
        <w:t xml:space="preserve">Victoria’s mental health system adequately responds to </w:t>
      </w:r>
      <w:r w:rsidR="00513EAE" w:rsidRPr="003E3DD2">
        <w:rPr>
          <w:rFonts w:asciiTheme="minorHAnsi" w:hAnsiTheme="minorHAnsi" w:cstheme="minorHAnsi"/>
          <w:szCs w:val="24"/>
        </w:rPr>
        <w:t>the needs o</w:t>
      </w:r>
      <w:r w:rsidR="008F77DC" w:rsidRPr="003E3DD2">
        <w:rPr>
          <w:rFonts w:asciiTheme="minorHAnsi" w:hAnsiTheme="minorHAnsi" w:cstheme="minorHAnsi"/>
          <w:szCs w:val="24"/>
        </w:rPr>
        <w:t>f older people experiencing, or at risk of experiencing mental illness</w:t>
      </w:r>
      <w:r w:rsidR="00373CC5" w:rsidRPr="003E3DD2">
        <w:rPr>
          <w:rFonts w:asciiTheme="minorHAnsi" w:hAnsiTheme="minorHAnsi" w:cstheme="minorHAnsi"/>
          <w:szCs w:val="24"/>
        </w:rPr>
        <w:t xml:space="preserve"> into the future</w:t>
      </w:r>
      <w:r w:rsidR="00513EAE" w:rsidRPr="003E3DD2">
        <w:rPr>
          <w:rFonts w:asciiTheme="minorHAnsi" w:hAnsiTheme="minorHAnsi" w:cstheme="minorHAnsi"/>
          <w:szCs w:val="24"/>
        </w:rPr>
        <w:t>.</w:t>
      </w:r>
    </w:p>
    <w:p w14:paraId="5AFAD0B5" w14:textId="1552E71A" w:rsidR="007D19A5" w:rsidRPr="003E3DD2" w:rsidRDefault="007D19A5" w:rsidP="001D1292">
      <w:pPr>
        <w:pStyle w:val="ListBullet"/>
        <w:numPr>
          <w:ilvl w:val="0"/>
          <w:numId w:val="0"/>
        </w:numPr>
        <w:spacing w:after="0" w:line="252" w:lineRule="auto"/>
        <w:rPr>
          <w:rFonts w:cstheme="minorHAnsi"/>
          <w:sz w:val="24"/>
          <w:szCs w:val="24"/>
        </w:rPr>
      </w:pPr>
    </w:p>
    <w:p w14:paraId="74567E61" w14:textId="3F872550" w:rsidR="00CE60EF" w:rsidRPr="003E3DD2" w:rsidRDefault="00CE60EF" w:rsidP="003D2091">
      <w:pPr>
        <w:pStyle w:val="Heading1"/>
        <w:pBdr>
          <w:bottom w:val="single" w:sz="2" w:space="1" w:color="46555F"/>
        </w:pBdr>
        <w:spacing w:before="120" w:after="120" w:line="240" w:lineRule="auto"/>
        <w:ind w:left="720" w:hanging="720"/>
        <w:contextualSpacing/>
        <w:rPr>
          <w:rFonts w:asciiTheme="minorHAnsi" w:eastAsiaTheme="minorHAnsi" w:hAnsiTheme="minorHAnsi" w:cstheme="minorHAnsi"/>
          <w:b/>
          <w:bCs/>
          <w:color w:val="E76E24"/>
          <w:sz w:val="28"/>
          <w:szCs w:val="28"/>
          <w:lang w:val="en-US"/>
        </w:rPr>
      </w:pPr>
      <w:r w:rsidRPr="003E3DD2">
        <w:rPr>
          <w:rFonts w:asciiTheme="minorHAnsi" w:eastAsiaTheme="minorHAnsi" w:hAnsiTheme="minorHAnsi" w:cstheme="minorHAnsi"/>
          <w:b/>
          <w:bCs/>
          <w:color w:val="E76E24"/>
          <w:sz w:val="28"/>
          <w:szCs w:val="28"/>
          <w:lang w:val="en-US"/>
        </w:rPr>
        <w:t>Recomm</w:t>
      </w:r>
      <w:r w:rsidR="0040096E" w:rsidRPr="003E3DD2">
        <w:rPr>
          <w:rFonts w:asciiTheme="minorHAnsi" w:eastAsiaTheme="minorHAnsi" w:hAnsiTheme="minorHAnsi" w:cstheme="minorHAnsi"/>
          <w:b/>
          <w:bCs/>
          <w:color w:val="E76E24"/>
          <w:sz w:val="28"/>
          <w:szCs w:val="28"/>
          <w:lang w:val="en-US"/>
        </w:rPr>
        <w:t>en</w:t>
      </w:r>
      <w:r w:rsidRPr="003E3DD2">
        <w:rPr>
          <w:rFonts w:asciiTheme="minorHAnsi" w:eastAsiaTheme="minorHAnsi" w:hAnsiTheme="minorHAnsi" w:cstheme="minorHAnsi"/>
          <w:b/>
          <w:bCs/>
          <w:color w:val="E76E24"/>
          <w:sz w:val="28"/>
          <w:szCs w:val="28"/>
          <w:lang w:val="en-US"/>
        </w:rPr>
        <w:t>dation</w:t>
      </w:r>
      <w:r w:rsidR="003D2091" w:rsidRPr="003E3DD2">
        <w:rPr>
          <w:rFonts w:asciiTheme="minorHAnsi" w:eastAsiaTheme="minorHAnsi" w:hAnsiTheme="minorHAnsi" w:cstheme="minorHAnsi"/>
          <w:b/>
          <w:bCs/>
          <w:color w:val="E76E24"/>
          <w:sz w:val="28"/>
          <w:szCs w:val="28"/>
          <w:lang w:val="en-US"/>
        </w:rPr>
        <w:t>s:</w:t>
      </w:r>
    </w:p>
    <w:p w14:paraId="527533C4" w14:textId="15A8B7D7" w:rsidR="00D642B2" w:rsidRPr="003E3DD2" w:rsidRDefault="00D642B2" w:rsidP="003E3DD2">
      <w:pPr>
        <w:pStyle w:val="ListBullet"/>
        <w:numPr>
          <w:ilvl w:val="0"/>
          <w:numId w:val="0"/>
        </w:numPr>
        <w:spacing w:after="0" w:line="252" w:lineRule="auto"/>
        <w:rPr>
          <w:rFonts w:cstheme="minorHAnsi"/>
          <w:sz w:val="24"/>
          <w:szCs w:val="24"/>
        </w:rPr>
      </w:pPr>
      <w:r w:rsidRPr="003E3DD2">
        <w:rPr>
          <w:rFonts w:cstheme="minorHAnsi"/>
          <w:sz w:val="24"/>
          <w:szCs w:val="24"/>
        </w:rPr>
        <w:t>We are calling on the Victorian Government to:</w:t>
      </w:r>
    </w:p>
    <w:p w14:paraId="4A20E7EF" w14:textId="4C21C602" w:rsidR="002C0F0C" w:rsidRPr="003E3DD2" w:rsidRDefault="00346951" w:rsidP="003E3DD2">
      <w:pPr>
        <w:pStyle w:val="ListBullet"/>
        <w:numPr>
          <w:ilvl w:val="0"/>
          <w:numId w:val="9"/>
        </w:numPr>
        <w:spacing w:after="0" w:line="252" w:lineRule="auto"/>
        <w:ind w:left="357" w:hanging="357"/>
        <w:rPr>
          <w:rFonts w:cstheme="minorHAnsi"/>
          <w:sz w:val="24"/>
          <w:szCs w:val="24"/>
        </w:rPr>
      </w:pPr>
      <w:bookmarkStart w:id="0" w:name="_Hlk83103959"/>
      <w:r w:rsidRPr="003E3DD2">
        <w:rPr>
          <w:rFonts w:cstheme="minorHAnsi"/>
          <w:sz w:val="24"/>
          <w:szCs w:val="24"/>
        </w:rPr>
        <w:t>Play a proactive role in the redesign of Australia’s ag</w:t>
      </w:r>
      <w:bookmarkStart w:id="1" w:name="_Hlk83103927"/>
      <w:r w:rsidRPr="003E3DD2">
        <w:rPr>
          <w:rFonts w:cstheme="minorHAnsi"/>
          <w:sz w:val="24"/>
          <w:szCs w:val="24"/>
        </w:rPr>
        <w:t xml:space="preserve">ed care system by </w:t>
      </w:r>
      <w:bookmarkEnd w:id="0"/>
      <w:r w:rsidRPr="003E3DD2">
        <w:rPr>
          <w:rFonts w:cstheme="minorHAnsi"/>
          <w:sz w:val="24"/>
          <w:szCs w:val="24"/>
        </w:rPr>
        <w:t>actively consulting with older Victorians and representing their needs and preferences to the Commonwealth Governmen</w:t>
      </w:r>
      <w:r w:rsidR="00054504" w:rsidRPr="003E3DD2">
        <w:rPr>
          <w:rFonts w:cstheme="minorHAnsi"/>
          <w:sz w:val="24"/>
          <w:szCs w:val="24"/>
        </w:rPr>
        <w:t>t.</w:t>
      </w:r>
      <w:r w:rsidR="00A46EC1" w:rsidRPr="003E3DD2">
        <w:rPr>
          <w:rFonts w:cstheme="minorHAnsi"/>
          <w:sz w:val="24"/>
          <w:szCs w:val="24"/>
        </w:rPr>
        <w:t xml:space="preserve"> </w:t>
      </w:r>
      <w:r w:rsidR="00F30AB3">
        <w:rPr>
          <w:rFonts w:cstheme="minorHAnsi"/>
          <w:sz w:val="24"/>
          <w:szCs w:val="24"/>
        </w:rPr>
        <w:t xml:space="preserve"> </w:t>
      </w:r>
      <w:r w:rsidR="00A46EC1" w:rsidRPr="003E3DD2">
        <w:rPr>
          <w:rFonts w:cstheme="minorHAnsi"/>
          <w:sz w:val="24"/>
          <w:szCs w:val="24"/>
        </w:rPr>
        <w:t>This include</w:t>
      </w:r>
      <w:r w:rsidR="002C0F0C" w:rsidRPr="003E3DD2">
        <w:rPr>
          <w:rFonts w:cstheme="minorHAnsi"/>
          <w:sz w:val="24"/>
          <w:szCs w:val="24"/>
        </w:rPr>
        <w:t>s</w:t>
      </w:r>
      <w:r w:rsidR="00A46EC1" w:rsidRPr="003E3DD2">
        <w:rPr>
          <w:rFonts w:cstheme="minorHAnsi"/>
          <w:sz w:val="24"/>
          <w:szCs w:val="24"/>
        </w:rPr>
        <w:t xml:space="preserve"> </w:t>
      </w:r>
      <w:r w:rsidR="00CC6E26" w:rsidRPr="003E3DD2">
        <w:rPr>
          <w:rFonts w:cstheme="minorHAnsi"/>
          <w:sz w:val="24"/>
          <w:szCs w:val="24"/>
        </w:rPr>
        <w:t xml:space="preserve">the need for </w:t>
      </w:r>
      <w:r w:rsidR="006A157E" w:rsidRPr="003E3DD2">
        <w:rPr>
          <w:rFonts w:cstheme="minorHAnsi"/>
          <w:sz w:val="24"/>
          <w:szCs w:val="24"/>
        </w:rPr>
        <w:t>locally based</w:t>
      </w:r>
      <w:r w:rsidR="002C0F0C" w:rsidRPr="003E3DD2">
        <w:rPr>
          <w:rFonts w:cstheme="minorHAnsi"/>
          <w:sz w:val="24"/>
          <w:szCs w:val="24"/>
        </w:rPr>
        <w:t xml:space="preserve"> </w:t>
      </w:r>
      <w:r w:rsidR="00A46EC1" w:rsidRPr="003E3DD2">
        <w:rPr>
          <w:rFonts w:cstheme="minorHAnsi"/>
          <w:sz w:val="24"/>
          <w:szCs w:val="24"/>
        </w:rPr>
        <w:t xml:space="preserve">services </w:t>
      </w:r>
      <w:r w:rsidR="002C0F0C" w:rsidRPr="003E3DD2">
        <w:rPr>
          <w:rFonts w:cstheme="minorHAnsi"/>
          <w:sz w:val="24"/>
          <w:szCs w:val="24"/>
        </w:rPr>
        <w:t>to:</w:t>
      </w:r>
    </w:p>
    <w:p w14:paraId="40551911" w14:textId="02CB1998" w:rsidR="002C0F0C" w:rsidRPr="003E3DD2" w:rsidRDefault="002C0F0C" w:rsidP="007B20D6">
      <w:pPr>
        <w:pStyle w:val="ListParagraph"/>
        <w:numPr>
          <w:ilvl w:val="1"/>
          <w:numId w:val="29"/>
        </w:numPr>
        <w:ind w:left="1077" w:hanging="357"/>
        <w:rPr>
          <w:rFonts w:asciiTheme="minorHAnsi" w:hAnsiTheme="minorHAnsi" w:cstheme="minorHAnsi"/>
          <w:szCs w:val="24"/>
        </w:rPr>
      </w:pPr>
      <w:r w:rsidRPr="003E3DD2">
        <w:rPr>
          <w:rFonts w:asciiTheme="minorHAnsi" w:hAnsiTheme="minorHAnsi" w:cstheme="minorHAnsi"/>
          <w:szCs w:val="24"/>
        </w:rPr>
        <w:t>H</w:t>
      </w:r>
      <w:r w:rsidR="00CC6E26" w:rsidRPr="003E3DD2">
        <w:rPr>
          <w:rFonts w:asciiTheme="minorHAnsi" w:hAnsiTheme="minorHAnsi" w:cstheme="minorHAnsi"/>
          <w:szCs w:val="24"/>
        </w:rPr>
        <w:t xml:space="preserve">elp </w:t>
      </w:r>
      <w:r w:rsidR="00A46EC1" w:rsidRPr="003E3DD2">
        <w:rPr>
          <w:rFonts w:asciiTheme="minorHAnsi" w:hAnsiTheme="minorHAnsi" w:cstheme="minorHAnsi"/>
          <w:szCs w:val="24"/>
        </w:rPr>
        <w:t xml:space="preserve">older people and family members </w:t>
      </w:r>
      <w:r w:rsidRPr="003E3DD2">
        <w:rPr>
          <w:rFonts w:asciiTheme="minorHAnsi" w:hAnsiTheme="minorHAnsi" w:cstheme="minorHAnsi"/>
          <w:szCs w:val="24"/>
        </w:rPr>
        <w:t xml:space="preserve">to </w:t>
      </w:r>
      <w:r w:rsidR="00A46EC1" w:rsidRPr="003E3DD2">
        <w:rPr>
          <w:rFonts w:asciiTheme="minorHAnsi" w:hAnsiTheme="minorHAnsi" w:cstheme="minorHAnsi"/>
          <w:szCs w:val="24"/>
        </w:rPr>
        <w:t xml:space="preserve">navigate the complex systems of health and aged </w:t>
      </w:r>
      <w:r w:rsidRPr="003E3DD2">
        <w:rPr>
          <w:rFonts w:asciiTheme="minorHAnsi" w:hAnsiTheme="minorHAnsi" w:cstheme="minorHAnsi"/>
          <w:szCs w:val="24"/>
        </w:rPr>
        <w:t>care</w:t>
      </w:r>
      <w:r w:rsidR="00C6292C" w:rsidRPr="003E3DD2">
        <w:rPr>
          <w:rFonts w:asciiTheme="minorHAnsi" w:hAnsiTheme="minorHAnsi" w:cstheme="minorHAnsi"/>
          <w:szCs w:val="24"/>
        </w:rPr>
        <w:t xml:space="preserve"> (recommendation 29 </w:t>
      </w:r>
      <w:r w:rsidR="0089059D" w:rsidRPr="003E3DD2">
        <w:rPr>
          <w:rFonts w:asciiTheme="minorHAnsi" w:hAnsiTheme="minorHAnsi" w:cstheme="minorHAnsi"/>
          <w:szCs w:val="24"/>
        </w:rPr>
        <w:t>of</w:t>
      </w:r>
      <w:r w:rsidR="00C6292C" w:rsidRPr="003E3DD2">
        <w:rPr>
          <w:rFonts w:asciiTheme="minorHAnsi" w:hAnsiTheme="minorHAnsi" w:cstheme="minorHAnsi"/>
          <w:szCs w:val="24"/>
        </w:rPr>
        <w:t xml:space="preserve"> the </w:t>
      </w:r>
      <w:r w:rsidR="00C6292C" w:rsidRPr="003E3DD2">
        <w:rPr>
          <w:rFonts w:asciiTheme="minorHAnsi" w:hAnsiTheme="minorHAnsi" w:cstheme="minorHAnsi"/>
          <w:i/>
          <w:iCs/>
          <w:szCs w:val="24"/>
        </w:rPr>
        <w:t>Royal Commission into Aged Care Quality and Safety</w:t>
      </w:r>
      <w:r w:rsidR="00C6292C" w:rsidRPr="003E3DD2">
        <w:rPr>
          <w:rFonts w:asciiTheme="minorHAnsi" w:hAnsiTheme="minorHAnsi" w:cstheme="minorHAnsi"/>
          <w:szCs w:val="24"/>
        </w:rPr>
        <w:t>)</w:t>
      </w:r>
      <w:r w:rsidR="00371DBA">
        <w:rPr>
          <w:rFonts w:asciiTheme="minorHAnsi" w:hAnsiTheme="minorHAnsi" w:cstheme="minorHAnsi"/>
          <w:szCs w:val="24"/>
        </w:rPr>
        <w:t>.</w:t>
      </w:r>
    </w:p>
    <w:p w14:paraId="2B793D85" w14:textId="028B364B" w:rsidR="002C0F0C" w:rsidRPr="003E3DD2" w:rsidRDefault="002C0F0C" w:rsidP="007B20D6">
      <w:pPr>
        <w:pStyle w:val="ListParagraph"/>
        <w:numPr>
          <w:ilvl w:val="1"/>
          <w:numId w:val="29"/>
        </w:numPr>
        <w:ind w:left="1077" w:hanging="357"/>
        <w:rPr>
          <w:rFonts w:asciiTheme="minorHAnsi" w:hAnsiTheme="minorHAnsi" w:cstheme="minorHAnsi"/>
          <w:szCs w:val="24"/>
        </w:rPr>
      </w:pPr>
      <w:r w:rsidRPr="003E3DD2">
        <w:rPr>
          <w:rFonts w:asciiTheme="minorHAnsi" w:hAnsiTheme="minorHAnsi" w:cstheme="minorHAnsi"/>
          <w:szCs w:val="24"/>
        </w:rPr>
        <w:t>Provide individuali</w:t>
      </w:r>
      <w:r w:rsidR="00CF48C6">
        <w:rPr>
          <w:rFonts w:asciiTheme="minorHAnsi" w:hAnsiTheme="minorHAnsi" w:cstheme="minorHAnsi"/>
          <w:szCs w:val="24"/>
        </w:rPr>
        <w:t>s</w:t>
      </w:r>
      <w:r w:rsidRPr="003E3DD2">
        <w:rPr>
          <w:rFonts w:asciiTheme="minorHAnsi" w:hAnsiTheme="minorHAnsi" w:cstheme="minorHAnsi"/>
          <w:szCs w:val="24"/>
        </w:rPr>
        <w:t xml:space="preserve">ed advocacy support to people </w:t>
      </w:r>
      <w:r w:rsidR="0084791A" w:rsidRPr="003E3DD2">
        <w:rPr>
          <w:rFonts w:asciiTheme="minorHAnsi" w:hAnsiTheme="minorHAnsi" w:cstheme="minorHAnsi"/>
          <w:szCs w:val="24"/>
        </w:rPr>
        <w:t>accessing or</w:t>
      </w:r>
      <w:r w:rsidRPr="003E3DD2">
        <w:rPr>
          <w:rFonts w:asciiTheme="minorHAnsi" w:hAnsiTheme="minorHAnsi" w:cstheme="minorHAnsi"/>
          <w:szCs w:val="24"/>
        </w:rPr>
        <w:t xml:space="preserve"> seeking to access aged care services</w:t>
      </w:r>
      <w:r w:rsidR="00C6292C" w:rsidRPr="003E3DD2">
        <w:rPr>
          <w:rFonts w:asciiTheme="minorHAnsi" w:hAnsiTheme="minorHAnsi" w:cstheme="minorHAnsi"/>
          <w:szCs w:val="24"/>
        </w:rPr>
        <w:t xml:space="preserve"> (recommendation 106 </w:t>
      </w:r>
      <w:r w:rsidR="0089059D" w:rsidRPr="003E3DD2">
        <w:rPr>
          <w:rFonts w:asciiTheme="minorHAnsi" w:hAnsiTheme="minorHAnsi" w:cstheme="minorHAnsi"/>
          <w:szCs w:val="24"/>
        </w:rPr>
        <w:t xml:space="preserve">of the </w:t>
      </w:r>
      <w:r w:rsidR="00C6292C" w:rsidRPr="003E3DD2">
        <w:rPr>
          <w:rFonts w:asciiTheme="minorHAnsi" w:hAnsiTheme="minorHAnsi" w:cstheme="minorHAnsi"/>
          <w:i/>
          <w:iCs/>
          <w:szCs w:val="24"/>
        </w:rPr>
        <w:t>Royal Commission into Aged Care Quality and Safety</w:t>
      </w:r>
      <w:r w:rsidR="00C6292C" w:rsidRPr="003E3DD2">
        <w:rPr>
          <w:rFonts w:asciiTheme="minorHAnsi" w:hAnsiTheme="minorHAnsi" w:cstheme="minorHAnsi"/>
          <w:szCs w:val="24"/>
        </w:rPr>
        <w:t>)</w:t>
      </w:r>
      <w:r w:rsidRPr="003E3DD2">
        <w:rPr>
          <w:rFonts w:asciiTheme="minorHAnsi" w:hAnsiTheme="minorHAnsi" w:cstheme="minorHAnsi"/>
          <w:szCs w:val="24"/>
        </w:rPr>
        <w:t>.</w:t>
      </w:r>
    </w:p>
    <w:bookmarkEnd w:id="1"/>
    <w:p w14:paraId="7854DBE0" w14:textId="66DB789D" w:rsidR="003A59BC" w:rsidRPr="00795127" w:rsidRDefault="006C21E5" w:rsidP="00795127">
      <w:pPr>
        <w:pStyle w:val="ListBullet"/>
        <w:numPr>
          <w:ilvl w:val="0"/>
          <w:numId w:val="29"/>
        </w:numPr>
        <w:spacing w:after="0" w:line="252" w:lineRule="auto"/>
        <w:ind w:left="357" w:hanging="357"/>
        <w:rPr>
          <w:rFonts w:cstheme="minorHAnsi"/>
          <w:sz w:val="24"/>
          <w:szCs w:val="24"/>
        </w:rPr>
      </w:pPr>
      <w:r>
        <w:rPr>
          <w:rFonts w:cstheme="minorHAnsi"/>
          <w:sz w:val="24"/>
          <w:szCs w:val="24"/>
        </w:rPr>
        <w:t xml:space="preserve">Play a direct role in safeguarding </w:t>
      </w:r>
      <w:r w:rsidR="00F7708C">
        <w:rPr>
          <w:rFonts w:cstheme="minorHAnsi"/>
          <w:sz w:val="24"/>
          <w:szCs w:val="24"/>
        </w:rPr>
        <w:t>Victorians living</w:t>
      </w:r>
      <w:r>
        <w:rPr>
          <w:rFonts w:cstheme="minorHAnsi"/>
          <w:sz w:val="24"/>
          <w:szCs w:val="24"/>
        </w:rPr>
        <w:t xml:space="preserve"> in residential aged care, initially by investigating </w:t>
      </w:r>
      <w:r w:rsidR="00DF1E71" w:rsidRPr="00890A2D">
        <w:rPr>
          <w:rFonts w:cstheme="minorHAnsi"/>
          <w:sz w:val="24"/>
          <w:szCs w:val="24"/>
        </w:rPr>
        <w:t xml:space="preserve">the feasibility of </w:t>
      </w:r>
      <w:r w:rsidR="00BB1E5A">
        <w:rPr>
          <w:rFonts w:cstheme="minorHAnsi"/>
          <w:sz w:val="24"/>
          <w:szCs w:val="24"/>
        </w:rPr>
        <w:t xml:space="preserve">establishing </w:t>
      </w:r>
      <w:r>
        <w:rPr>
          <w:rFonts w:cstheme="minorHAnsi"/>
          <w:sz w:val="24"/>
          <w:szCs w:val="24"/>
        </w:rPr>
        <w:t xml:space="preserve">a safeguarding </w:t>
      </w:r>
      <w:r w:rsidR="00F7708C">
        <w:rPr>
          <w:rFonts w:cstheme="minorHAnsi"/>
          <w:sz w:val="24"/>
          <w:szCs w:val="24"/>
        </w:rPr>
        <w:t>community visitors</w:t>
      </w:r>
      <w:r>
        <w:rPr>
          <w:rFonts w:cstheme="minorHAnsi"/>
          <w:sz w:val="24"/>
          <w:szCs w:val="24"/>
        </w:rPr>
        <w:t xml:space="preserve"> program </w:t>
      </w:r>
      <w:r w:rsidR="00BB1E5A">
        <w:rPr>
          <w:rFonts w:cstheme="minorHAnsi"/>
          <w:sz w:val="24"/>
          <w:szCs w:val="24"/>
        </w:rPr>
        <w:t xml:space="preserve">modeled on </w:t>
      </w:r>
      <w:r>
        <w:rPr>
          <w:rFonts w:cstheme="minorHAnsi"/>
          <w:sz w:val="24"/>
          <w:szCs w:val="24"/>
        </w:rPr>
        <w:t>th</w:t>
      </w:r>
      <w:r w:rsidR="00DA1A1C">
        <w:rPr>
          <w:rFonts w:cstheme="minorHAnsi"/>
          <w:sz w:val="24"/>
          <w:szCs w:val="24"/>
        </w:rPr>
        <w:t xml:space="preserve">e program </w:t>
      </w:r>
      <w:r>
        <w:rPr>
          <w:rFonts w:cstheme="minorHAnsi"/>
          <w:sz w:val="24"/>
          <w:szCs w:val="24"/>
        </w:rPr>
        <w:t>which is already administered by the Office of the Public Advocate</w:t>
      </w:r>
      <w:r w:rsidR="00945064">
        <w:rPr>
          <w:rFonts w:cstheme="minorHAnsi"/>
          <w:sz w:val="24"/>
          <w:szCs w:val="24"/>
        </w:rPr>
        <w:t>.</w:t>
      </w:r>
    </w:p>
    <w:p w14:paraId="1C0F5ED1" w14:textId="25834F8B" w:rsidR="00B1195E" w:rsidRPr="003E3DD2" w:rsidRDefault="00B1195E" w:rsidP="009E4383">
      <w:pPr>
        <w:pStyle w:val="ListParagraph"/>
        <w:numPr>
          <w:ilvl w:val="0"/>
          <w:numId w:val="32"/>
        </w:numPr>
        <w:ind w:left="357" w:hanging="357"/>
        <w:rPr>
          <w:rFonts w:asciiTheme="minorHAnsi" w:hAnsiTheme="minorHAnsi" w:cstheme="minorHAnsi"/>
          <w:szCs w:val="24"/>
        </w:rPr>
      </w:pPr>
      <w:r w:rsidRPr="003E3DD2">
        <w:rPr>
          <w:rFonts w:asciiTheme="minorHAnsi" w:hAnsiTheme="minorHAnsi" w:cstheme="minorHAnsi"/>
          <w:szCs w:val="24"/>
        </w:rPr>
        <w:t xml:space="preserve">Ensure </w:t>
      </w:r>
      <w:r w:rsidR="00F30AB3">
        <w:rPr>
          <w:rFonts w:asciiTheme="minorHAnsi" w:hAnsiTheme="minorHAnsi" w:cstheme="minorHAnsi"/>
          <w:szCs w:val="24"/>
        </w:rPr>
        <w:t>Victorian local government</w:t>
      </w:r>
      <w:r w:rsidRPr="003E3DD2">
        <w:rPr>
          <w:rFonts w:asciiTheme="minorHAnsi" w:hAnsiTheme="minorHAnsi" w:cstheme="minorHAnsi"/>
          <w:szCs w:val="24"/>
        </w:rPr>
        <w:t xml:space="preserve"> </w:t>
      </w:r>
      <w:r w:rsidR="00F30AB3">
        <w:rPr>
          <w:rFonts w:asciiTheme="minorHAnsi" w:hAnsiTheme="minorHAnsi" w:cstheme="minorHAnsi"/>
          <w:szCs w:val="24"/>
        </w:rPr>
        <w:t>is</w:t>
      </w:r>
      <w:r w:rsidRPr="003E3DD2">
        <w:rPr>
          <w:rFonts w:asciiTheme="minorHAnsi" w:hAnsiTheme="minorHAnsi" w:cstheme="minorHAnsi"/>
          <w:szCs w:val="24"/>
        </w:rPr>
        <w:t xml:space="preserve"> adequately funded to provide locally delivered programs, services and supports to facilitate active ag</w:t>
      </w:r>
      <w:r w:rsidR="00E3771F" w:rsidRPr="003E3DD2">
        <w:rPr>
          <w:rFonts w:asciiTheme="minorHAnsi" w:hAnsiTheme="minorHAnsi" w:cstheme="minorHAnsi"/>
          <w:szCs w:val="24"/>
        </w:rPr>
        <w:t>e</w:t>
      </w:r>
      <w:r w:rsidRPr="003E3DD2">
        <w:rPr>
          <w:rFonts w:asciiTheme="minorHAnsi" w:hAnsiTheme="minorHAnsi" w:cstheme="minorHAnsi"/>
          <w:szCs w:val="24"/>
        </w:rPr>
        <w:t xml:space="preserve">ing. </w:t>
      </w:r>
      <w:r w:rsidR="00F30AB3">
        <w:rPr>
          <w:rFonts w:asciiTheme="minorHAnsi" w:hAnsiTheme="minorHAnsi" w:cstheme="minorHAnsi"/>
          <w:szCs w:val="24"/>
        </w:rPr>
        <w:t xml:space="preserve"> </w:t>
      </w:r>
      <w:r w:rsidRPr="003E3DD2">
        <w:rPr>
          <w:rFonts w:asciiTheme="minorHAnsi" w:hAnsiTheme="minorHAnsi" w:cstheme="minorHAnsi"/>
          <w:szCs w:val="24"/>
        </w:rPr>
        <w:t xml:space="preserve">These services must be </w:t>
      </w:r>
      <w:r w:rsidRPr="003E3DD2">
        <w:rPr>
          <w:rFonts w:asciiTheme="minorHAnsi" w:hAnsiTheme="minorHAnsi" w:cstheme="minorHAnsi"/>
          <w:szCs w:val="24"/>
        </w:rPr>
        <w:lastRenderedPageBreak/>
        <w:t>available to older Victorians living in residential care as well as those living in the community.</w:t>
      </w:r>
    </w:p>
    <w:p w14:paraId="6CCE75E6" w14:textId="77777777" w:rsidR="00E811E3" w:rsidRPr="00E811E3" w:rsidRDefault="00B1195E" w:rsidP="00E811E3">
      <w:pPr>
        <w:pStyle w:val="ListParagraph"/>
        <w:numPr>
          <w:ilvl w:val="0"/>
          <w:numId w:val="32"/>
        </w:numPr>
        <w:spacing w:after="0" w:line="252" w:lineRule="auto"/>
        <w:ind w:left="357" w:hanging="357"/>
        <w:rPr>
          <w:rFonts w:asciiTheme="minorHAnsi" w:hAnsiTheme="minorHAnsi" w:cstheme="minorHAnsi"/>
          <w:szCs w:val="24"/>
        </w:rPr>
      </w:pPr>
      <w:r w:rsidRPr="003E3DD2">
        <w:rPr>
          <w:rFonts w:asciiTheme="minorHAnsi" w:hAnsiTheme="minorHAnsi" w:cstheme="minorHAnsi"/>
          <w:szCs w:val="24"/>
        </w:rPr>
        <w:t xml:space="preserve">Work with </w:t>
      </w:r>
      <w:r w:rsidR="00F30AB3">
        <w:rPr>
          <w:rFonts w:asciiTheme="minorHAnsi" w:hAnsiTheme="minorHAnsi" w:cstheme="minorHAnsi"/>
          <w:szCs w:val="24"/>
        </w:rPr>
        <w:t>local government</w:t>
      </w:r>
      <w:r w:rsidR="00E3771F" w:rsidRPr="003E3DD2">
        <w:rPr>
          <w:rFonts w:asciiTheme="minorHAnsi" w:hAnsiTheme="minorHAnsi" w:cstheme="minorHAnsi"/>
          <w:szCs w:val="24"/>
        </w:rPr>
        <w:t xml:space="preserve"> </w:t>
      </w:r>
      <w:r w:rsidRPr="003E3DD2">
        <w:rPr>
          <w:rFonts w:asciiTheme="minorHAnsi" w:hAnsiTheme="minorHAnsi" w:cstheme="minorHAnsi"/>
          <w:szCs w:val="24"/>
        </w:rPr>
        <w:t xml:space="preserve">to </w:t>
      </w:r>
      <w:r w:rsidR="00E3771F" w:rsidRPr="003E3DD2">
        <w:rPr>
          <w:rFonts w:asciiTheme="minorHAnsi" w:hAnsiTheme="minorHAnsi" w:cstheme="minorHAnsi"/>
          <w:szCs w:val="24"/>
        </w:rPr>
        <w:t xml:space="preserve">reduce </w:t>
      </w:r>
      <w:r w:rsidRPr="003E3DD2">
        <w:rPr>
          <w:rFonts w:asciiTheme="minorHAnsi" w:hAnsiTheme="minorHAnsi" w:cstheme="minorHAnsi"/>
          <w:szCs w:val="24"/>
        </w:rPr>
        <w:t xml:space="preserve">non-financial barriers preventing them from </w:t>
      </w:r>
      <w:r w:rsidRPr="00E811E3">
        <w:rPr>
          <w:rFonts w:asciiTheme="minorHAnsi" w:hAnsiTheme="minorHAnsi" w:cstheme="minorHAnsi"/>
          <w:szCs w:val="24"/>
        </w:rPr>
        <w:t xml:space="preserve">registering as providers under the Commonwealth </w:t>
      </w:r>
      <w:r w:rsidR="00126E1C" w:rsidRPr="00E811E3">
        <w:rPr>
          <w:rFonts w:asciiTheme="minorHAnsi" w:hAnsiTheme="minorHAnsi" w:cstheme="minorHAnsi"/>
          <w:szCs w:val="24"/>
        </w:rPr>
        <w:t>aged care system</w:t>
      </w:r>
      <w:r w:rsidRPr="00E811E3">
        <w:rPr>
          <w:rFonts w:asciiTheme="minorHAnsi" w:hAnsiTheme="minorHAnsi" w:cstheme="minorHAnsi"/>
          <w:szCs w:val="24"/>
        </w:rPr>
        <w:t xml:space="preserve">, such as </w:t>
      </w:r>
      <w:r w:rsidRPr="00E811E3">
        <w:rPr>
          <w:rFonts w:asciiTheme="minorHAnsi" w:eastAsia="Times New Roman" w:hAnsiTheme="minorHAnsi" w:cstheme="minorHAnsi"/>
          <w:spacing w:val="7"/>
          <w:szCs w:val="24"/>
          <w:lang w:eastAsia="en-AU"/>
        </w:rPr>
        <w:t>the requirement to comply with National Competition Policy.</w:t>
      </w:r>
    </w:p>
    <w:p w14:paraId="4A8ED575" w14:textId="1CFB3935" w:rsidR="00C60C95" w:rsidRPr="00E811E3" w:rsidRDefault="00C60C95" w:rsidP="00E811E3">
      <w:pPr>
        <w:pStyle w:val="ListParagraph"/>
        <w:numPr>
          <w:ilvl w:val="0"/>
          <w:numId w:val="32"/>
        </w:numPr>
        <w:spacing w:after="0" w:line="252" w:lineRule="auto"/>
        <w:ind w:left="357" w:hanging="357"/>
        <w:rPr>
          <w:rFonts w:asciiTheme="minorHAnsi" w:hAnsiTheme="minorHAnsi" w:cstheme="minorHAnsi"/>
          <w:szCs w:val="24"/>
        </w:rPr>
      </w:pPr>
      <w:r w:rsidRPr="00E811E3">
        <w:rPr>
          <w:rFonts w:asciiTheme="minorHAnsi" w:hAnsiTheme="minorHAnsi" w:cstheme="minorHAnsi"/>
          <w:szCs w:val="24"/>
        </w:rPr>
        <w:t>Establish a thoroughly costed, community-based transport program to support older Victorians experiencing transport disadvantage. This program must:</w:t>
      </w:r>
    </w:p>
    <w:p w14:paraId="649FB9AD" w14:textId="44A191F1" w:rsidR="00C60C95" w:rsidRPr="00E811E3" w:rsidRDefault="00C60C95" w:rsidP="00371DBA">
      <w:pPr>
        <w:pStyle w:val="ListParagraph"/>
        <w:numPr>
          <w:ilvl w:val="1"/>
          <w:numId w:val="30"/>
        </w:numPr>
        <w:ind w:left="1077" w:hanging="357"/>
        <w:rPr>
          <w:rFonts w:asciiTheme="minorHAnsi" w:hAnsiTheme="minorHAnsi" w:cstheme="minorHAnsi"/>
          <w:szCs w:val="24"/>
        </w:rPr>
      </w:pPr>
      <w:r w:rsidRPr="00E811E3">
        <w:rPr>
          <w:rFonts w:asciiTheme="minorHAnsi" w:hAnsiTheme="minorHAnsi" w:cstheme="minorHAnsi"/>
          <w:szCs w:val="24"/>
        </w:rPr>
        <w:t>Be properly funded to ensure effective resourcing and coordination and must not rely solely on existing infrastructure</w:t>
      </w:r>
    </w:p>
    <w:p w14:paraId="5EA30952" w14:textId="0568AD76" w:rsidR="00C60C95" w:rsidRPr="00E811E3" w:rsidRDefault="00C60C95" w:rsidP="00371DBA">
      <w:pPr>
        <w:pStyle w:val="ListParagraph"/>
        <w:numPr>
          <w:ilvl w:val="1"/>
          <w:numId w:val="30"/>
        </w:numPr>
        <w:ind w:left="1077" w:hanging="357"/>
        <w:rPr>
          <w:rFonts w:asciiTheme="minorHAnsi" w:hAnsiTheme="minorHAnsi" w:cstheme="minorHAnsi"/>
          <w:szCs w:val="24"/>
        </w:rPr>
      </w:pPr>
      <w:r w:rsidRPr="00E811E3">
        <w:rPr>
          <w:rFonts w:asciiTheme="minorHAnsi" w:hAnsiTheme="minorHAnsi" w:cstheme="minorHAnsi"/>
          <w:szCs w:val="24"/>
        </w:rPr>
        <w:t>Be regulated by the Department of Transport</w:t>
      </w:r>
    </w:p>
    <w:p w14:paraId="2FA98913" w14:textId="1BD3495B" w:rsidR="00C60C95" w:rsidRPr="00E811E3" w:rsidRDefault="00C60C95" w:rsidP="00371DBA">
      <w:pPr>
        <w:pStyle w:val="ListParagraph"/>
        <w:numPr>
          <w:ilvl w:val="1"/>
          <w:numId w:val="30"/>
        </w:numPr>
        <w:ind w:left="1077" w:hanging="357"/>
        <w:rPr>
          <w:rFonts w:asciiTheme="minorHAnsi" w:hAnsiTheme="minorHAnsi" w:cstheme="minorHAnsi"/>
          <w:szCs w:val="24"/>
        </w:rPr>
      </w:pPr>
      <w:r w:rsidRPr="00E811E3">
        <w:rPr>
          <w:rFonts w:asciiTheme="minorHAnsi" w:hAnsiTheme="minorHAnsi" w:cstheme="minorHAnsi"/>
          <w:szCs w:val="24"/>
        </w:rPr>
        <w:t>Be available to older people living in residential care as well as those living in the community</w:t>
      </w:r>
    </w:p>
    <w:p w14:paraId="15FC622A" w14:textId="13B1F876" w:rsidR="00C60C95" w:rsidRPr="00E811E3" w:rsidRDefault="00C60C95" w:rsidP="00371DBA">
      <w:pPr>
        <w:pStyle w:val="ListParagraph"/>
        <w:numPr>
          <w:ilvl w:val="1"/>
          <w:numId w:val="30"/>
        </w:numPr>
        <w:ind w:left="1077" w:hanging="357"/>
        <w:rPr>
          <w:rFonts w:asciiTheme="minorHAnsi" w:hAnsiTheme="minorHAnsi" w:cstheme="minorHAnsi"/>
          <w:szCs w:val="24"/>
        </w:rPr>
      </w:pPr>
      <w:r w:rsidRPr="00E811E3">
        <w:rPr>
          <w:rFonts w:asciiTheme="minorHAnsi" w:hAnsiTheme="minorHAnsi" w:cstheme="minorHAnsi"/>
          <w:szCs w:val="24"/>
        </w:rPr>
        <w:t>Establish consistent eligibility criteria and service fees for older people across all geographic regions</w:t>
      </w:r>
    </w:p>
    <w:p w14:paraId="2A8AB15A" w14:textId="77777777" w:rsidR="00E811E3" w:rsidRDefault="00C60C95" w:rsidP="00E811E3">
      <w:pPr>
        <w:pStyle w:val="ListParagraph"/>
        <w:numPr>
          <w:ilvl w:val="1"/>
          <w:numId w:val="30"/>
        </w:numPr>
        <w:ind w:left="1077" w:hanging="357"/>
        <w:rPr>
          <w:rFonts w:asciiTheme="minorHAnsi" w:hAnsiTheme="minorHAnsi" w:cstheme="minorHAnsi"/>
          <w:szCs w:val="24"/>
        </w:rPr>
      </w:pPr>
      <w:r w:rsidRPr="00E811E3">
        <w:rPr>
          <w:rFonts w:asciiTheme="minorHAnsi" w:hAnsiTheme="minorHAnsi" w:cstheme="minorHAnsi"/>
          <w:szCs w:val="24"/>
        </w:rPr>
        <w:t>Effectively service older people living in regional and rural areas.</w:t>
      </w:r>
      <w:r w:rsidR="00E811E3">
        <w:rPr>
          <w:rFonts w:asciiTheme="minorHAnsi" w:hAnsiTheme="minorHAnsi" w:cstheme="minorHAnsi"/>
          <w:szCs w:val="24"/>
        </w:rPr>
        <w:t xml:space="preserve"> </w:t>
      </w:r>
    </w:p>
    <w:p w14:paraId="340619C8" w14:textId="44C6B0F4" w:rsidR="00B1195E" w:rsidRPr="00320A58" w:rsidRDefault="00B1195E" w:rsidP="00320A58">
      <w:pPr>
        <w:pStyle w:val="ListParagraph"/>
        <w:numPr>
          <w:ilvl w:val="0"/>
          <w:numId w:val="32"/>
        </w:numPr>
        <w:spacing w:after="0" w:line="252" w:lineRule="auto"/>
        <w:ind w:left="357" w:hanging="357"/>
        <w:rPr>
          <w:rFonts w:asciiTheme="minorHAnsi" w:hAnsiTheme="minorHAnsi" w:cstheme="minorHAnsi"/>
          <w:szCs w:val="24"/>
        </w:rPr>
      </w:pPr>
      <w:r w:rsidRPr="00320A58">
        <w:rPr>
          <w:rFonts w:asciiTheme="minorHAnsi" w:hAnsiTheme="minorHAnsi" w:cstheme="minorHAnsi"/>
          <w:szCs w:val="24"/>
        </w:rPr>
        <w:t xml:space="preserve">Undertake targeted consultation with older Victorians, including those living in residential care, to identify and resolve existing </w:t>
      </w:r>
      <w:r w:rsidR="007F5E4F" w:rsidRPr="00320A58">
        <w:rPr>
          <w:rFonts w:asciiTheme="minorHAnsi" w:hAnsiTheme="minorHAnsi" w:cstheme="minorHAnsi"/>
          <w:szCs w:val="24"/>
        </w:rPr>
        <w:t xml:space="preserve">barriers </w:t>
      </w:r>
      <w:r w:rsidRPr="00320A58">
        <w:rPr>
          <w:rFonts w:asciiTheme="minorHAnsi" w:hAnsiTheme="minorHAnsi" w:cstheme="minorHAnsi"/>
          <w:szCs w:val="24"/>
        </w:rPr>
        <w:t>affecting continuity of care acros</w:t>
      </w:r>
      <w:r w:rsidR="008E1C99" w:rsidRPr="00320A58">
        <w:rPr>
          <w:rFonts w:asciiTheme="minorHAnsi" w:hAnsiTheme="minorHAnsi" w:cstheme="minorHAnsi"/>
          <w:szCs w:val="24"/>
        </w:rPr>
        <w:t>s health services</w:t>
      </w:r>
      <w:r w:rsidRPr="00320A58">
        <w:rPr>
          <w:rFonts w:asciiTheme="minorHAnsi" w:hAnsiTheme="minorHAnsi" w:cstheme="minorHAnsi"/>
          <w:szCs w:val="24"/>
        </w:rPr>
        <w:t>.</w:t>
      </w:r>
    </w:p>
    <w:p w14:paraId="097A71E6" w14:textId="4299DF6F" w:rsidR="00B1195E" w:rsidRPr="003E3DD2" w:rsidRDefault="00B1195E" w:rsidP="009E4383">
      <w:pPr>
        <w:pStyle w:val="ListBullet"/>
        <w:numPr>
          <w:ilvl w:val="0"/>
          <w:numId w:val="32"/>
        </w:numPr>
        <w:spacing w:after="0" w:line="252" w:lineRule="auto"/>
        <w:ind w:left="357" w:hanging="357"/>
        <w:rPr>
          <w:rFonts w:cstheme="minorHAnsi"/>
          <w:sz w:val="24"/>
          <w:szCs w:val="24"/>
        </w:rPr>
      </w:pPr>
      <w:r w:rsidRPr="003E3DD2">
        <w:rPr>
          <w:rFonts w:cstheme="minorHAnsi"/>
          <w:sz w:val="24"/>
          <w:szCs w:val="24"/>
        </w:rPr>
        <w:t xml:space="preserve">Improve access to </w:t>
      </w:r>
      <w:r w:rsidR="00473111" w:rsidRPr="003E3DD2">
        <w:rPr>
          <w:rFonts w:cstheme="minorHAnsi"/>
          <w:sz w:val="24"/>
          <w:szCs w:val="24"/>
        </w:rPr>
        <w:t xml:space="preserve">oral health care </w:t>
      </w:r>
      <w:r w:rsidRPr="003E3DD2">
        <w:rPr>
          <w:rFonts w:cstheme="minorHAnsi"/>
          <w:sz w:val="24"/>
          <w:szCs w:val="24"/>
        </w:rPr>
        <w:t>for older Victorians by:</w:t>
      </w:r>
    </w:p>
    <w:p w14:paraId="39704D89" w14:textId="2D957686" w:rsidR="00B1195E" w:rsidRPr="003E3DD2" w:rsidRDefault="00B1195E" w:rsidP="007B20D6">
      <w:pPr>
        <w:pStyle w:val="ListParagraph"/>
        <w:numPr>
          <w:ilvl w:val="1"/>
          <w:numId w:val="30"/>
        </w:numPr>
        <w:ind w:left="1077" w:hanging="357"/>
        <w:rPr>
          <w:rFonts w:asciiTheme="minorHAnsi" w:hAnsiTheme="minorHAnsi" w:cstheme="minorHAnsi"/>
          <w:szCs w:val="24"/>
        </w:rPr>
      </w:pPr>
      <w:r w:rsidRPr="003E3DD2">
        <w:rPr>
          <w:rFonts w:asciiTheme="minorHAnsi" w:hAnsiTheme="minorHAnsi" w:cstheme="minorHAnsi"/>
          <w:szCs w:val="24"/>
        </w:rPr>
        <w:t>Working with the Commonwealth Government to progress the establishment of a Seniors Dental Benefits Scheme in line with recommendation 60 of the Royal Commission into Aged Care Quality and Safety</w:t>
      </w:r>
      <w:r w:rsidR="00371DBA">
        <w:rPr>
          <w:rFonts w:asciiTheme="minorHAnsi" w:hAnsiTheme="minorHAnsi" w:cstheme="minorHAnsi"/>
          <w:szCs w:val="24"/>
        </w:rPr>
        <w:t>.</w:t>
      </w:r>
    </w:p>
    <w:p w14:paraId="2F631B90" w14:textId="59F0BA3C" w:rsidR="00BD6F4A" w:rsidRPr="003E3DD2" w:rsidRDefault="00B1195E" w:rsidP="007B20D6">
      <w:pPr>
        <w:pStyle w:val="ListParagraph"/>
        <w:numPr>
          <w:ilvl w:val="1"/>
          <w:numId w:val="30"/>
        </w:numPr>
        <w:ind w:left="1077" w:hanging="357"/>
        <w:rPr>
          <w:rFonts w:asciiTheme="minorHAnsi" w:hAnsiTheme="minorHAnsi" w:cstheme="minorHAnsi"/>
          <w:szCs w:val="24"/>
        </w:rPr>
      </w:pPr>
      <w:r w:rsidRPr="003E3DD2">
        <w:rPr>
          <w:rFonts w:asciiTheme="minorHAnsi" w:hAnsiTheme="minorHAnsi" w:cstheme="minorHAnsi"/>
          <w:szCs w:val="24"/>
        </w:rPr>
        <w:t>Funding a mobile dental service to provide oral health care to Victorians living in residential aged care until such time that recommendation 60 of the Royal Commission into Aged Care Quality and Safety has been fully implemented</w:t>
      </w:r>
      <w:r w:rsidR="00371DBA">
        <w:rPr>
          <w:rFonts w:asciiTheme="minorHAnsi" w:hAnsiTheme="minorHAnsi" w:cstheme="minorHAnsi"/>
          <w:szCs w:val="24"/>
        </w:rPr>
        <w:t>.</w:t>
      </w:r>
    </w:p>
    <w:p w14:paraId="16885FC6" w14:textId="20DA1CAB" w:rsidR="00BD6F4A" w:rsidRPr="003E3DD2" w:rsidRDefault="00BD6F4A" w:rsidP="007B20D6">
      <w:pPr>
        <w:pStyle w:val="ListParagraph"/>
        <w:numPr>
          <w:ilvl w:val="1"/>
          <w:numId w:val="30"/>
        </w:numPr>
        <w:ind w:left="1077" w:hanging="357"/>
        <w:rPr>
          <w:rFonts w:asciiTheme="minorHAnsi" w:hAnsiTheme="minorHAnsi" w:cstheme="minorHAnsi"/>
          <w:szCs w:val="24"/>
        </w:rPr>
      </w:pPr>
      <w:r w:rsidRPr="003E3DD2">
        <w:rPr>
          <w:rFonts w:asciiTheme="minorHAnsi" w:hAnsiTheme="minorHAnsi" w:cstheme="minorHAnsi"/>
          <w:szCs w:val="24"/>
        </w:rPr>
        <w:t>Increas</w:t>
      </w:r>
      <w:r w:rsidR="001456DD">
        <w:rPr>
          <w:rFonts w:asciiTheme="minorHAnsi" w:hAnsiTheme="minorHAnsi" w:cstheme="minorHAnsi"/>
          <w:szCs w:val="24"/>
        </w:rPr>
        <w:t>ing</w:t>
      </w:r>
      <w:r w:rsidRPr="003E3DD2">
        <w:rPr>
          <w:rFonts w:asciiTheme="minorHAnsi" w:hAnsiTheme="minorHAnsi" w:cstheme="minorHAnsi"/>
          <w:szCs w:val="24"/>
        </w:rPr>
        <w:t xml:space="preserve"> funding to Dental Health Services Victoria to reduce wait times and improve access to free and </w:t>
      </w:r>
      <w:r w:rsidR="009B1A27" w:rsidRPr="003E3DD2">
        <w:rPr>
          <w:rFonts w:asciiTheme="minorHAnsi" w:hAnsiTheme="minorHAnsi" w:cstheme="minorHAnsi"/>
          <w:szCs w:val="24"/>
        </w:rPr>
        <w:t>low-cost</w:t>
      </w:r>
      <w:r w:rsidRPr="003E3DD2">
        <w:rPr>
          <w:rFonts w:asciiTheme="minorHAnsi" w:hAnsiTheme="minorHAnsi" w:cstheme="minorHAnsi"/>
          <w:szCs w:val="24"/>
        </w:rPr>
        <w:t xml:space="preserve"> dental care for older people living in the community.</w:t>
      </w:r>
    </w:p>
    <w:p w14:paraId="4BE4744E" w14:textId="6FBD6D00" w:rsidR="00793AEB" w:rsidRPr="003E3DD2" w:rsidRDefault="001E50DB" w:rsidP="009E4383">
      <w:pPr>
        <w:pStyle w:val="ListBullet"/>
        <w:numPr>
          <w:ilvl w:val="0"/>
          <w:numId w:val="32"/>
        </w:numPr>
        <w:spacing w:after="0" w:line="252" w:lineRule="auto"/>
        <w:ind w:left="357" w:hanging="357"/>
        <w:rPr>
          <w:rFonts w:cstheme="minorHAnsi"/>
          <w:sz w:val="24"/>
          <w:szCs w:val="24"/>
        </w:rPr>
      </w:pPr>
      <w:r w:rsidRPr="003E3DD2">
        <w:rPr>
          <w:rFonts w:cstheme="minorHAnsi"/>
          <w:sz w:val="24"/>
          <w:szCs w:val="24"/>
        </w:rPr>
        <w:t xml:space="preserve">Ensure </w:t>
      </w:r>
      <w:r w:rsidR="003D2A68" w:rsidRPr="003E3DD2">
        <w:rPr>
          <w:rFonts w:cstheme="minorHAnsi"/>
          <w:sz w:val="24"/>
          <w:szCs w:val="24"/>
        </w:rPr>
        <w:t xml:space="preserve">older people are actively consulted </w:t>
      </w:r>
      <w:r w:rsidR="00DD3943" w:rsidRPr="003E3DD2">
        <w:rPr>
          <w:rFonts w:cstheme="minorHAnsi"/>
          <w:sz w:val="24"/>
          <w:szCs w:val="24"/>
        </w:rPr>
        <w:t xml:space="preserve">throughout </w:t>
      </w:r>
      <w:r w:rsidR="003D2A68" w:rsidRPr="003E3DD2">
        <w:rPr>
          <w:rFonts w:cstheme="minorHAnsi"/>
          <w:sz w:val="24"/>
          <w:szCs w:val="24"/>
        </w:rPr>
        <w:t>the implementation of recommendations from the Royal Commission into Victoria’</w:t>
      </w:r>
      <w:r w:rsidR="00DD3943" w:rsidRPr="003E3DD2">
        <w:rPr>
          <w:rFonts w:cstheme="minorHAnsi"/>
          <w:sz w:val="24"/>
          <w:szCs w:val="24"/>
        </w:rPr>
        <w:t>s Mental Health syste</w:t>
      </w:r>
      <w:r w:rsidR="00E13A2C" w:rsidRPr="003E3DD2">
        <w:rPr>
          <w:rFonts w:cstheme="minorHAnsi"/>
          <w:sz w:val="24"/>
          <w:szCs w:val="24"/>
        </w:rPr>
        <w:t>m.</w:t>
      </w:r>
    </w:p>
    <w:p w14:paraId="510B966E" w14:textId="4496D67F" w:rsidR="00C255BD" w:rsidRPr="003E3DD2" w:rsidRDefault="00C255BD" w:rsidP="00C255BD">
      <w:pPr>
        <w:pStyle w:val="ListBullet"/>
        <w:numPr>
          <w:ilvl w:val="0"/>
          <w:numId w:val="0"/>
        </w:numPr>
        <w:spacing w:after="0" w:line="252" w:lineRule="auto"/>
        <w:ind w:left="720" w:hanging="360"/>
        <w:rPr>
          <w:rFonts w:cstheme="minorHAnsi"/>
          <w:sz w:val="24"/>
          <w:szCs w:val="24"/>
        </w:rPr>
      </w:pPr>
    </w:p>
    <w:p w14:paraId="69AFAC7D" w14:textId="76C2F6BC" w:rsidR="00C255BD" w:rsidRPr="003E3DD2" w:rsidRDefault="00C255BD" w:rsidP="00F30AB3">
      <w:pPr>
        <w:pStyle w:val="ListBullet"/>
        <w:numPr>
          <w:ilvl w:val="0"/>
          <w:numId w:val="0"/>
        </w:numPr>
        <w:spacing w:after="0" w:line="252" w:lineRule="auto"/>
        <w:rPr>
          <w:rFonts w:cstheme="minorHAnsi"/>
          <w:sz w:val="24"/>
          <w:szCs w:val="24"/>
        </w:rPr>
      </w:pPr>
      <w:r w:rsidRPr="003E3DD2">
        <w:rPr>
          <w:rFonts w:cstheme="minorHAnsi"/>
          <w:sz w:val="24"/>
          <w:szCs w:val="24"/>
        </w:rPr>
        <w:t>Other relevant documents</w:t>
      </w:r>
      <w:r w:rsidR="00ED53BA" w:rsidRPr="003E3DD2">
        <w:rPr>
          <w:rFonts w:cstheme="minorHAnsi"/>
          <w:sz w:val="24"/>
          <w:szCs w:val="24"/>
        </w:rPr>
        <w:t xml:space="preserve">: </w:t>
      </w:r>
      <w:hyperlink r:id="rId9" w:history="1">
        <w:r w:rsidR="00ED53BA" w:rsidRPr="003E3DD2">
          <w:rPr>
            <w:rStyle w:val="Hyperlink"/>
            <w:rFonts w:cstheme="minorHAnsi"/>
            <w:sz w:val="24"/>
            <w:szCs w:val="24"/>
          </w:rPr>
          <w:t>COTA Victoria position statement on access to assistive technology</w:t>
        </w:r>
      </w:hyperlink>
    </w:p>
    <w:p w14:paraId="26225680" w14:textId="2DEDD615" w:rsidR="00C255BD" w:rsidRDefault="00C255BD" w:rsidP="00C255BD">
      <w:pPr>
        <w:pStyle w:val="ListBullet"/>
        <w:numPr>
          <w:ilvl w:val="0"/>
          <w:numId w:val="0"/>
        </w:numPr>
        <w:spacing w:after="0" w:line="252" w:lineRule="auto"/>
        <w:ind w:left="720" w:hanging="360"/>
        <w:rPr>
          <w:rFonts w:cstheme="minorHAnsi"/>
          <w:sz w:val="24"/>
          <w:szCs w:val="24"/>
        </w:rPr>
      </w:pPr>
    </w:p>
    <w:p w14:paraId="183AB78D" w14:textId="1FA0607C" w:rsidR="00320A58" w:rsidRDefault="00320A58" w:rsidP="00C255BD">
      <w:pPr>
        <w:pStyle w:val="ListBullet"/>
        <w:numPr>
          <w:ilvl w:val="0"/>
          <w:numId w:val="0"/>
        </w:numPr>
        <w:spacing w:after="0" w:line="252" w:lineRule="auto"/>
        <w:ind w:left="720" w:hanging="360"/>
        <w:rPr>
          <w:rFonts w:cstheme="minorHAnsi"/>
          <w:sz w:val="24"/>
          <w:szCs w:val="24"/>
        </w:rPr>
      </w:pPr>
    </w:p>
    <w:p w14:paraId="66A23ABA" w14:textId="78B3EEEC" w:rsidR="00320A58" w:rsidRDefault="00320A58" w:rsidP="00C255BD">
      <w:pPr>
        <w:pStyle w:val="ListBullet"/>
        <w:numPr>
          <w:ilvl w:val="0"/>
          <w:numId w:val="0"/>
        </w:numPr>
        <w:spacing w:after="0" w:line="252" w:lineRule="auto"/>
        <w:ind w:left="720" w:hanging="360"/>
        <w:rPr>
          <w:rFonts w:cstheme="minorHAnsi"/>
          <w:sz w:val="24"/>
          <w:szCs w:val="24"/>
        </w:rPr>
      </w:pPr>
    </w:p>
    <w:p w14:paraId="29E1CF85" w14:textId="56E2D77D" w:rsidR="00320A58" w:rsidRDefault="00320A58" w:rsidP="00C255BD">
      <w:pPr>
        <w:pStyle w:val="ListBullet"/>
        <w:numPr>
          <w:ilvl w:val="0"/>
          <w:numId w:val="0"/>
        </w:numPr>
        <w:spacing w:after="0" w:line="252" w:lineRule="auto"/>
        <w:ind w:left="720" w:hanging="360"/>
        <w:rPr>
          <w:rFonts w:cstheme="minorHAnsi"/>
          <w:sz w:val="24"/>
          <w:szCs w:val="24"/>
        </w:rPr>
      </w:pPr>
    </w:p>
    <w:p w14:paraId="5771BCC3" w14:textId="41636353" w:rsidR="00320A58" w:rsidRDefault="00320A58" w:rsidP="00C255BD">
      <w:pPr>
        <w:pStyle w:val="ListBullet"/>
        <w:numPr>
          <w:ilvl w:val="0"/>
          <w:numId w:val="0"/>
        </w:numPr>
        <w:spacing w:after="0" w:line="252" w:lineRule="auto"/>
        <w:ind w:left="720" w:hanging="360"/>
        <w:rPr>
          <w:rFonts w:cstheme="minorHAnsi"/>
          <w:sz w:val="24"/>
          <w:szCs w:val="24"/>
        </w:rPr>
      </w:pPr>
    </w:p>
    <w:p w14:paraId="1CE642DE" w14:textId="489FFEB6" w:rsidR="00320A58" w:rsidRDefault="00320A58" w:rsidP="00C255BD">
      <w:pPr>
        <w:pStyle w:val="ListBullet"/>
        <w:numPr>
          <w:ilvl w:val="0"/>
          <w:numId w:val="0"/>
        </w:numPr>
        <w:spacing w:after="0" w:line="252" w:lineRule="auto"/>
        <w:ind w:left="720" w:hanging="360"/>
        <w:rPr>
          <w:rFonts w:cstheme="minorHAnsi"/>
          <w:sz w:val="24"/>
          <w:szCs w:val="24"/>
        </w:rPr>
      </w:pPr>
    </w:p>
    <w:p w14:paraId="3CFB7192" w14:textId="1540C5A2" w:rsidR="00320A58" w:rsidRDefault="00320A58" w:rsidP="00C255BD">
      <w:pPr>
        <w:pStyle w:val="ListBullet"/>
        <w:numPr>
          <w:ilvl w:val="0"/>
          <w:numId w:val="0"/>
        </w:numPr>
        <w:spacing w:after="0" w:line="252" w:lineRule="auto"/>
        <w:ind w:left="720" w:hanging="360"/>
        <w:rPr>
          <w:rFonts w:cstheme="minorHAnsi"/>
          <w:sz w:val="24"/>
          <w:szCs w:val="24"/>
        </w:rPr>
      </w:pPr>
    </w:p>
    <w:p w14:paraId="70EA984A" w14:textId="72E130D0" w:rsidR="00320A58" w:rsidRDefault="00320A58" w:rsidP="00C255BD">
      <w:pPr>
        <w:pStyle w:val="ListBullet"/>
        <w:numPr>
          <w:ilvl w:val="0"/>
          <w:numId w:val="0"/>
        </w:numPr>
        <w:spacing w:after="0" w:line="252" w:lineRule="auto"/>
        <w:ind w:left="720" w:hanging="360"/>
        <w:rPr>
          <w:rFonts w:cstheme="minorHAnsi"/>
          <w:sz w:val="24"/>
          <w:szCs w:val="24"/>
        </w:rPr>
      </w:pPr>
    </w:p>
    <w:p w14:paraId="441A84FD" w14:textId="486CA744" w:rsidR="00320A58" w:rsidRDefault="00320A58" w:rsidP="00C255BD">
      <w:pPr>
        <w:pStyle w:val="ListBullet"/>
        <w:numPr>
          <w:ilvl w:val="0"/>
          <w:numId w:val="0"/>
        </w:numPr>
        <w:spacing w:after="0" w:line="252" w:lineRule="auto"/>
        <w:ind w:left="720" w:hanging="360"/>
        <w:rPr>
          <w:rFonts w:cstheme="minorHAnsi"/>
          <w:sz w:val="24"/>
          <w:szCs w:val="24"/>
        </w:rPr>
      </w:pPr>
    </w:p>
    <w:p w14:paraId="0B59AEE1" w14:textId="0A9692AE" w:rsidR="00320A58" w:rsidRDefault="00320A58" w:rsidP="00C255BD">
      <w:pPr>
        <w:pStyle w:val="ListBullet"/>
        <w:numPr>
          <w:ilvl w:val="0"/>
          <w:numId w:val="0"/>
        </w:numPr>
        <w:spacing w:after="0" w:line="252" w:lineRule="auto"/>
        <w:ind w:left="720" w:hanging="360"/>
        <w:rPr>
          <w:rFonts w:cstheme="minorHAnsi"/>
          <w:sz w:val="24"/>
          <w:szCs w:val="24"/>
        </w:rPr>
      </w:pPr>
    </w:p>
    <w:p w14:paraId="4D85E5BE" w14:textId="24CB7D45" w:rsidR="00320A58" w:rsidRDefault="00320A58" w:rsidP="00C255BD">
      <w:pPr>
        <w:pStyle w:val="ListBullet"/>
        <w:numPr>
          <w:ilvl w:val="0"/>
          <w:numId w:val="0"/>
        </w:numPr>
        <w:spacing w:after="0" w:line="252" w:lineRule="auto"/>
        <w:ind w:left="720" w:hanging="360"/>
        <w:rPr>
          <w:rFonts w:cstheme="minorHAnsi"/>
          <w:sz w:val="24"/>
          <w:szCs w:val="24"/>
        </w:rPr>
      </w:pPr>
    </w:p>
    <w:p w14:paraId="2D919257" w14:textId="77777777" w:rsidR="00320A58" w:rsidRDefault="00320A58" w:rsidP="00C255BD">
      <w:pPr>
        <w:pStyle w:val="ListBullet"/>
        <w:numPr>
          <w:ilvl w:val="0"/>
          <w:numId w:val="0"/>
        </w:numPr>
        <w:spacing w:after="0" w:line="252" w:lineRule="auto"/>
        <w:ind w:left="720" w:hanging="360"/>
        <w:rPr>
          <w:rFonts w:cstheme="minorHAnsi"/>
          <w:sz w:val="24"/>
          <w:szCs w:val="24"/>
        </w:rPr>
      </w:pPr>
    </w:p>
    <w:p w14:paraId="43215D0C" w14:textId="77777777" w:rsidR="00FF0F73" w:rsidRPr="003E3DD2" w:rsidRDefault="00FF0F73" w:rsidP="00C255BD">
      <w:pPr>
        <w:pStyle w:val="ListBullet"/>
        <w:numPr>
          <w:ilvl w:val="0"/>
          <w:numId w:val="0"/>
        </w:numPr>
        <w:spacing w:after="0" w:line="252" w:lineRule="auto"/>
        <w:ind w:left="720" w:hanging="360"/>
        <w:rPr>
          <w:rFonts w:cstheme="minorHAnsi"/>
          <w:sz w:val="24"/>
          <w:szCs w:val="24"/>
        </w:rPr>
      </w:pPr>
    </w:p>
    <w:sectPr w:rsidR="00FF0F73" w:rsidRPr="003E3DD2" w:rsidSect="003D2898">
      <w:footerReference w:type="default" r:id="rId10"/>
      <w:endnotePr>
        <w:numFmt w:val="decimal"/>
      </w:endnotePr>
      <w:pgSz w:w="11906" w:h="16838"/>
      <w:pgMar w:top="89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7DCC" w14:textId="77777777" w:rsidR="00C203F7" w:rsidRDefault="00C203F7" w:rsidP="00BC6BF5">
      <w:pPr>
        <w:spacing w:after="0" w:line="240" w:lineRule="auto"/>
      </w:pPr>
      <w:r>
        <w:separator/>
      </w:r>
    </w:p>
  </w:endnote>
  <w:endnote w:type="continuationSeparator" w:id="0">
    <w:p w14:paraId="46B797F2" w14:textId="77777777" w:rsidR="00C203F7" w:rsidRDefault="00C203F7" w:rsidP="00BC6BF5">
      <w:pPr>
        <w:spacing w:after="0" w:line="240" w:lineRule="auto"/>
      </w:pPr>
      <w:r>
        <w:continuationSeparator/>
      </w:r>
    </w:p>
  </w:endnote>
  <w:endnote w:id="1">
    <w:p w14:paraId="4737DAAF" w14:textId="05C9DE34" w:rsidR="00753E37" w:rsidRPr="007B20D6" w:rsidRDefault="00753E37">
      <w:pPr>
        <w:pStyle w:val="EndnoteText"/>
        <w:rPr>
          <w:sz w:val="18"/>
          <w:szCs w:val="18"/>
          <w:lang w:val="en-AU"/>
        </w:rPr>
      </w:pPr>
      <w:r>
        <w:rPr>
          <w:rStyle w:val="EndnoteReference"/>
        </w:rPr>
        <w:endnoteRef/>
      </w:r>
      <w:r>
        <w:t xml:space="preserve"> </w:t>
      </w:r>
      <w:r w:rsidRPr="007B20D6">
        <w:rPr>
          <w:sz w:val="18"/>
          <w:szCs w:val="18"/>
        </w:rPr>
        <w:t>Victorian Equal Opportunity and Human Rights Commission (2020) 'Human rights', accessed 20 September 2021, retrieved from &lt;https://www.humanrights.vic.gov.au/for-individuals/human-rights/&gt;.</w:t>
      </w:r>
    </w:p>
  </w:endnote>
  <w:endnote w:id="2">
    <w:p w14:paraId="34936B9B" w14:textId="781E29BB" w:rsidR="002E58FA" w:rsidRPr="007B20D6" w:rsidRDefault="002E58FA">
      <w:pPr>
        <w:pStyle w:val="EndnoteText"/>
        <w:rPr>
          <w:sz w:val="18"/>
          <w:szCs w:val="18"/>
          <w:lang w:val="en-AU"/>
        </w:rPr>
      </w:pPr>
      <w:r w:rsidRPr="007B20D6">
        <w:rPr>
          <w:rStyle w:val="EndnoteReference"/>
          <w:sz w:val="18"/>
          <w:szCs w:val="18"/>
        </w:rPr>
        <w:endnoteRef/>
      </w:r>
      <w:r w:rsidRPr="007B20D6">
        <w:rPr>
          <w:sz w:val="18"/>
          <w:szCs w:val="18"/>
        </w:rPr>
        <w:t xml:space="preserve"> Victorian Department of Environment, Land, Water and </w:t>
      </w:r>
      <w:r w:rsidR="0085445E" w:rsidRPr="007B20D6">
        <w:rPr>
          <w:sz w:val="18"/>
          <w:szCs w:val="18"/>
        </w:rPr>
        <w:t>Planning (</w:t>
      </w:r>
      <w:r w:rsidRPr="007B20D6">
        <w:rPr>
          <w:sz w:val="18"/>
          <w:szCs w:val="18"/>
        </w:rPr>
        <w:t xml:space="preserve">2019) 'Victoria in future </w:t>
      </w:r>
      <w:r w:rsidR="006D6191" w:rsidRPr="007B20D6">
        <w:rPr>
          <w:sz w:val="18"/>
          <w:szCs w:val="18"/>
        </w:rPr>
        <w:t>2015 population</w:t>
      </w:r>
      <w:r w:rsidRPr="007B20D6">
        <w:rPr>
          <w:sz w:val="18"/>
          <w:szCs w:val="18"/>
        </w:rPr>
        <w:t xml:space="preserve"> and household projections to 2051'.</w:t>
      </w:r>
    </w:p>
  </w:endnote>
  <w:endnote w:id="3">
    <w:p w14:paraId="35D527EA" w14:textId="10156AE5" w:rsidR="005B5548" w:rsidRPr="007B20D6" w:rsidRDefault="005B5548">
      <w:pPr>
        <w:pStyle w:val="EndnoteText"/>
        <w:rPr>
          <w:sz w:val="18"/>
          <w:szCs w:val="18"/>
          <w:lang w:val="en-AU"/>
        </w:rPr>
      </w:pPr>
      <w:r w:rsidRPr="007B20D6">
        <w:rPr>
          <w:rStyle w:val="EndnoteReference"/>
          <w:sz w:val="18"/>
          <w:szCs w:val="18"/>
        </w:rPr>
        <w:endnoteRef/>
      </w:r>
      <w:r w:rsidRPr="007B20D6">
        <w:rPr>
          <w:sz w:val="18"/>
          <w:szCs w:val="18"/>
        </w:rPr>
        <w:t xml:space="preserve"> Australian Government Department of Health (2021) 'Community Visitors Scheme', accessed 21 September 2021, retrieved from &lt;https://www.health.gov.au/initiatives-and-programs/community-visitors-scheme-cvs&gt;.</w:t>
      </w:r>
    </w:p>
  </w:endnote>
  <w:endnote w:id="4">
    <w:p w14:paraId="5C87544F" w14:textId="3C92AAB4" w:rsidR="00745273" w:rsidRPr="007B20D6" w:rsidRDefault="00745273">
      <w:pPr>
        <w:pStyle w:val="EndnoteText"/>
        <w:rPr>
          <w:sz w:val="18"/>
          <w:szCs w:val="18"/>
          <w:lang w:val="en-AU"/>
        </w:rPr>
      </w:pPr>
      <w:r w:rsidRPr="007B20D6">
        <w:rPr>
          <w:rStyle w:val="EndnoteReference"/>
          <w:sz w:val="18"/>
          <w:szCs w:val="18"/>
        </w:rPr>
        <w:endnoteRef/>
      </w:r>
      <w:r w:rsidRPr="007B20D6">
        <w:rPr>
          <w:sz w:val="18"/>
          <w:szCs w:val="18"/>
        </w:rPr>
        <w:t xml:space="preserve"> Office of the Public Advocate (2021) 'Community Visitors', accessed 21 September 2021, retrieved from &lt;https://www.publicadvocate.vic.gov.au/opa-volunteers/community-visitors&gt;.</w:t>
      </w:r>
    </w:p>
  </w:endnote>
  <w:endnote w:id="5">
    <w:p w14:paraId="77CD8B0D" w14:textId="26C99922" w:rsidR="00954E08" w:rsidRPr="007B20D6" w:rsidRDefault="00954E08">
      <w:pPr>
        <w:pStyle w:val="EndnoteText"/>
        <w:rPr>
          <w:sz w:val="18"/>
          <w:szCs w:val="18"/>
          <w:lang w:val="en-AU"/>
        </w:rPr>
      </w:pPr>
      <w:r w:rsidRPr="007B20D6">
        <w:rPr>
          <w:rStyle w:val="EndnoteReference"/>
          <w:sz w:val="18"/>
          <w:szCs w:val="18"/>
        </w:rPr>
        <w:endnoteRef/>
      </w:r>
      <w:r w:rsidRPr="007B20D6">
        <w:rPr>
          <w:sz w:val="18"/>
          <w:szCs w:val="18"/>
        </w:rPr>
        <w:t xml:space="preserve"> Australian Institute of Health and Welfare (2021) 'Aged care', accessed 20 September 2021, retrieved from &lt;https://www.aihw.gov.au/reports/australias-welfare/aged-care&gt;.</w:t>
      </w:r>
    </w:p>
  </w:endnote>
  <w:endnote w:id="6">
    <w:p w14:paraId="0776E884" w14:textId="03C3D160" w:rsidR="00CD6527" w:rsidRPr="007B20D6" w:rsidRDefault="00CD6527">
      <w:pPr>
        <w:pStyle w:val="EndnoteText"/>
        <w:rPr>
          <w:sz w:val="18"/>
          <w:szCs w:val="18"/>
          <w:lang w:val="en-AU"/>
        </w:rPr>
      </w:pPr>
      <w:r w:rsidRPr="007B20D6">
        <w:rPr>
          <w:rStyle w:val="EndnoteReference"/>
          <w:sz w:val="18"/>
          <w:szCs w:val="18"/>
        </w:rPr>
        <w:endnoteRef/>
      </w:r>
      <w:r w:rsidRPr="007B20D6">
        <w:rPr>
          <w:sz w:val="18"/>
          <w:szCs w:val="18"/>
        </w:rPr>
        <w:t xml:space="preserve"> Victorian Government (2020) 'Competitive Neutrality Policy', accessed 20 September 2021, retrieved from &lt;https://www.vic.gov.au/competitive-neutrality-policy&gt;.</w:t>
      </w:r>
    </w:p>
  </w:endnote>
  <w:endnote w:id="7">
    <w:p w14:paraId="45B5255B" w14:textId="5ABC5448" w:rsidR="00557738" w:rsidRPr="007B20D6" w:rsidRDefault="00557738">
      <w:pPr>
        <w:pStyle w:val="EndnoteText"/>
        <w:rPr>
          <w:sz w:val="18"/>
          <w:szCs w:val="18"/>
          <w:lang w:val="en-AU"/>
        </w:rPr>
      </w:pPr>
      <w:r w:rsidRPr="007B20D6">
        <w:rPr>
          <w:rStyle w:val="EndnoteReference"/>
          <w:sz w:val="18"/>
          <w:szCs w:val="18"/>
        </w:rPr>
        <w:endnoteRef/>
      </w:r>
      <w:r w:rsidRPr="007B20D6">
        <w:rPr>
          <w:sz w:val="18"/>
          <w:szCs w:val="18"/>
        </w:rPr>
        <w:t xml:space="preserve"> COTA Victoria and The City of Whittlesea (2020) 'Checking in on the older people's experience', accessed 21 September 2021, retrieved from &lt;https://www.cotavic.org.au/wp-content/uploads/sites/2/2020/12/COVID-19-report.pdf&gt;.</w:t>
      </w:r>
    </w:p>
  </w:endnote>
  <w:endnote w:id="8">
    <w:p w14:paraId="0F1A1A9B" w14:textId="0F7CED09" w:rsidR="007D04D2" w:rsidRPr="007B20D6" w:rsidRDefault="007D04D2">
      <w:pPr>
        <w:pStyle w:val="EndnoteText"/>
        <w:rPr>
          <w:sz w:val="18"/>
          <w:szCs w:val="18"/>
          <w:lang w:val="en-AU"/>
        </w:rPr>
      </w:pPr>
      <w:r w:rsidRPr="007B20D6">
        <w:rPr>
          <w:rStyle w:val="EndnoteReference"/>
          <w:sz w:val="18"/>
          <w:szCs w:val="18"/>
        </w:rPr>
        <w:endnoteRef/>
      </w:r>
      <w:r w:rsidRPr="007B20D6">
        <w:rPr>
          <w:sz w:val="18"/>
          <w:szCs w:val="18"/>
        </w:rPr>
        <w:t xml:space="preserve"> Australian Institute of Health and Welfare (2019) "Social isolation and loneliness', accessed 16 September 2021, retrieved from &lt;https://www.aihw.gov.au/reports/australias-welfare/social-isolation-and-loneliness&gt;.</w:t>
      </w:r>
    </w:p>
  </w:endnote>
  <w:endnote w:id="9">
    <w:p w14:paraId="1C2A9A35" w14:textId="73930DB0" w:rsidR="002E58FA" w:rsidRPr="007B20D6" w:rsidRDefault="002E58FA">
      <w:pPr>
        <w:pStyle w:val="EndnoteText"/>
        <w:rPr>
          <w:sz w:val="18"/>
          <w:szCs w:val="18"/>
          <w:lang w:val="en-AU"/>
        </w:rPr>
      </w:pPr>
      <w:r w:rsidRPr="007B20D6">
        <w:rPr>
          <w:rStyle w:val="EndnoteReference"/>
          <w:sz w:val="18"/>
          <w:szCs w:val="18"/>
        </w:rPr>
        <w:endnoteRef/>
      </w:r>
      <w:r w:rsidRPr="007B20D6">
        <w:rPr>
          <w:sz w:val="18"/>
          <w:szCs w:val="18"/>
        </w:rPr>
        <w:t xml:space="preserve"> Gerard Mansour, Commissioner for Senior Victorians (2020) 'Ageing in a changing world', accessed 21 September 2021, retrieved from &lt;https://www.seniorsonline.vic.gov.au/-/media/seniors/files/commissioner-for-senior-victorians/report-ageing-well-in-a-changing-world-2020.pdf?la=en&amp;hash=5E937926E554413FB59249427FBF8BD0B84F13E0&gt;.</w:t>
      </w:r>
    </w:p>
  </w:endnote>
  <w:endnote w:id="10">
    <w:p w14:paraId="5A5001D0" w14:textId="4228BE38" w:rsidR="000C2223" w:rsidRPr="007B20D6" w:rsidRDefault="000C2223">
      <w:pPr>
        <w:pStyle w:val="EndnoteText"/>
        <w:rPr>
          <w:sz w:val="18"/>
          <w:szCs w:val="18"/>
          <w:lang w:val="en-AU"/>
        </w:rPr>
      </w:pPr>
      <w:r w:rsidRPr="007B20D6">
        <w:rPr>
          <w:rStyle w:val="EndnoteReference"/>
          <w:sz w:val="18"/>
          <w:szCs w:val="18"/>
        </w:rPr>
        <w:endnoteRef/>
      </w:r>
      <w:r w:rsidRPr="007B20D6">
        <w:rPr>
          <w:sz w:val="18"/>
          <w:szCs w:val="18"/>
        </w:rPr>
        <w:t xml:space="preserve"> VicTas Community Transport Association Petition (2021) 'Community Transport Funding Equity for Older Victorians', accessed 21 September 2021, retrieved from &lt;https://www.change.org/p/minister-for-senior-australians-and-aged-care-community-transport-funding-equity-for-older-victorians&gt;.</w:t>
      </w:r>
    </w:p>
  </w:endnote>
  <w:endnote w:id="11">
    <w:p w14:paraId="7684B7E5" w14:textId="0AF972EA" w:rsidR="00901ECE" w:rsidRPr="007B20D6" w:rsidRDefault="00901ECE">
      <w:pPr>
        <w:pStyle w:val="EndnoteText"/>
        <w:rPr>
          <w:sz w:val="18"/>
          <w:szCs w:val="18"/>
          <w:lang w:val="en-AU"/>
        </w:rPr>
      </w:pPr>
      <w:r w:rsidRPr="007B20D6">
        <w:rPr>
          <w:rStyle w:val="EndnoteReference"/>
          <w:sz w:val="18"/>
          <w:szCs w:val="18"/>
        </w:rPr>
        <w:endnoteRef/>
      </w:r>
      <w:r w:rsidRPr="007B20D6">
        <w:rPr>
          <w:sz w:val="18"/>
          <w:szCs w:val="18"/>
        </w:rPr>
        <w:t xml:space="preserve"> COTA Victoria (2018) 'Improving support for older Victorian’s dental health', accessed 21 September 2021, retrieved from &lt;https://www.cotavic.org.au/news-items/improving-support-for-older-victorians-dental-health/&gt;.</w:t>
      </w:r>
    </w:p>
  </w:endnote>
  <w:endnote w:id="12">
    <w:p w14:paraId="5680A671" w14:textId="73DC7C43" w:rsidR="00CF1CEA" w:rsidRPr="007B20D6" w:rsidRDefault="00CF1CEA">
      <w:pPr>
        <w:pStyle w:val="EndnoteText"/>
        <w:rPr>
          <w:sz w:val="18"/>
          <w:szCs w:val="18"/>
          <w:lang w:val="en-AU"/>
        </w:rPr>
      </w:pPr>
      <w:r w:rsidRPr="007B20D6">
        <w:rPr>
          <w:rStyle w:val="EndnoteReference"/>
          <w:sz w:val="18"/>
          <w:szCs w:val="18"/>
        </w:rPr>
        <w:endnoteRef/>
      </w:r>
      <w:r w:rsidRPr="007B20D6">
        <w:rPr>
          <w:sz w:val="18"/>
          <w:szCs w:val="18"/>
        </w:rPr>
        <w:t xml:space="preserve"> Department of Families, Fairness and Housing (2021) 'Dental services', accessed 21 September 2021, retrieved from &lt;https://services.dffh.vic.gov.au/dental-services&gt;.</w:t>
      </w:r>
    </w:p>
  </w:endnote>
  <w:endnote w:id="13">
    <w:p w14:paraId="3D42F833" w14:textId="46779275" w:rsidR="0023188F" w:rsidRPr="0023188F" w:rsidRDefault="0023188F">
      <w:pPr>
        <w:pStyle w:val="EndnoteText"/>
        <w:rPr>
          <w:lang w:val="en-AU"/>
        </w:rPr>
      </w:pPr>
      <w:r>
        <w:rPr>
          <w:rStyle w:val="EndnoteReference"/>
        </w:rPr>
        <w:endnoteRef/>
      </w:r>
      <w:r>
        <w:t xml:space="preserve"> </w:t>
      </w:r>
      <w:r w:rsidRPr="0023188F">
        <w:t>Victorian Oral Health Alliance (2021) 'Data', accessed 24 September 2021, retrieved from &lt;https://voha.org.au/data/&gt;.</w:t>
      </w:r>
    </w:p>
  </w:endnote>
  <w:endnote w:id="14">
    <w:p w14:paraId="67781C33" w14:textId="01D192F1" w:rsidR="003A09FA" w:rsidRPr="007B20D6" w:rsidRDefault="003A09FA">
      <w:pPr>
        <w:pStyle w:val="EndnoteText"/>
        <w:rPr>
          <w:sz w:val="18"/>
          <w:szCs w:val="18"/>
          <w:lang w:val="en-AU"/>
        </w:rPr>
      </w:pPr>
      <w:r w:rsidRPr="007B20D6">
        <w:rPr>
          <w:rStyle w:val="EndnoteReference"/>
          <w:sz w:val="18"/>
          <w:szCs w:val="18"/>
        </w:rPr>
        <w:endnoteRef/>
      </w:r>
      <w:r w:rsidRPr="007B20D6">
        <w:rPr>
          <w:sz w:val="18"/>
          <w:szCs w:val="18"/>
        </w:rPr>
        <w:t xml:space="preserve"> Royal Commission into Victoria’s Mental Health System (2021) P289.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995305"/>
      <w:docPartObj>
        <w:docPartGallery w:val="Page Numbers (Bottom of Page)"/>
        <w:docPartUnique/>
      </w:docPartObj>
    </w:sdtPr>
    <w:sdtEndPr>
      <w:rPr>
        <w:color w:val="7F7F7F" w:themeColor="background1" w:themeShade="7F"/>
        <w:spacing w:val="60"/>
      </w:rPr>
    </w:sdtEndPr>
    <w:sdtContent>
      <w:p w14:paraId="418C8238" w14:textId="4BAD04D7" w:rsidR="00E3771F" w:rsidRDefault="00E3771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65822C0" w14:textId="77777777" w:rsidR="00E3771F" w:rsidRDefault="00E3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5175" w14:textId="77777777" w:rsidR="00C203F7" w:rsidRDefault="00C203F7" w:rsidP="00BC6BF5">
      <w:pPr>
        <w:spacing w:after="0" w:line="240" w:lineRule="auto"/>
      </w:pPr>
      <w:r>
        <w:separator/>
      </w:r>
    </w:p>
  </w:footnote>
  <w:footnote w:type="continuationSeparator" w:id="0">
    <w:p w14:paraId="33CAD126" w14:textId="77777777" w:rsidR="00C203F7" w:rsidRDefault="00C203F7" w:rsidP="00BC6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66C8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3294"/>
    <w:multiLevelType w:val="hybridMultilevel"/>
    <w:tmpl w:val="27F66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DE074E"/>
    <w:multiLevelType w:val="hybridMultilevel"/>
    <w:tmpl w:val="D890CF6A"/>
    <w:lvl w:ilvl="0" w:tplc="107A908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19C37C4"/>
    <w:multiLevelType w:val="multilevel"/>
    <w:tmpl w:val="5672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44908"/>
    <w:multiLevelType w:val="hybridMultilevel"/>
    <w:tmpl w:val="FD380DDC"/>
    <w:lvl w:ilvl="0" w:tplc="0C09000F">
      <w:start w:val="1"/>
      <w:numFmt w:val="decimal"/>
      <w:lvlText w:val="%1."/>
      <w:lvlJc w:val="left"/>
      <w:pPr>
        <w:ind w:left="720" w:hanging="360"/>
      </w:pPr>
      <w:rPr>
        <w:rFont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F5120"/>
    <w:multiLevelType w:val="multilevel"/>
    <w:tmpl w:val="246C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B5399"/>
    <w:multiLevelType w:val="multilevel"/>
    <w:tmpl w:val="AE34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A67A4"/>
    <w:multiLevelType w:val="multilevel"/>
    <w:tmpl w:val="ACB4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2D0ED3"/>
    <w:multiLevelType w:val="multilevel"/>
    <w:tmpl w:val="C53E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972772"/>
    <w:multiLevelType w:val="hybridMultilevel"/>
    <w:tmpl w:val="D4D0CDEE"/>
    <w:lvl w:ilvl="0" w:tplc="609A6872">
      <w:start w:val="3"/>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D34376"/>
    <w:multiLevelType w:val="multilevel"/>
    <w:tmpl w:val="A296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42229"/>
    <w:multiLevelType w:val="hybridMultilevel"/>
    <w:tmpl w:val="4086C7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224495"/>
    <w:multiLevelType w:val="hybridMultilevel"/>
    <w:tmpl w:val="63C87E72"/>
    <w:lvl w:ilvl="0" w:tplc="107A908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F3E6302"/>
    <w:multiLevelType w:val="hybridMultilevel"/>
    <w:tmpl w:val="ABAC78C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3FB70662"/>
    <w:multiLevelType w:val="hybridMultilevel"/>
    <w:tmpl w:val="3D126318"/>
    <w:lvl w:ilvl="0" w:tplc="0C09000F">
      <w:start w:val="1"/>
      <w:numFmt w:val="decimal"/>
      <w:lvlText w:val="%1."/>
      <w:lvlJc w:val="left"/>
      <w:pPr>
        <w:ind w:left="720" w:hanging="360"/>
      </w:pPr>
      <w:rPr>
        <w:rFont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F824C9"/>
    <w:multiLevelType w:val="hybridMultilevel"/>
    <w:tmpl w:val="263E85FA"/>
    <w:lvl w:ilvl="0" w:tplc="0C09000F">
      <w:start w:val="1"/>
      <w:numFmt w:val="decimal"/>
      <w:pStyle w:val="ListBullet"/>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64721C"/>
    <w:multiLevelType w:val="multilevel"/>
    <w:tmpl w:val="E5DE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59354B"/>
    <w:multiLevelType w:val="multilevel"/>
    <w:tmpl w:val="887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EA483F"/>
    <w:multiLevelType w:val="hybridMultilevel"/>
    <w:tmpl w:val="470866C0"/>
    <w:lvl w:ilvl="0" w:tplc="D4F44B40">
      <w:start w:val="1"/>
      <w:numFmt w:val="bullet"/>
      <w:lvlText w:val=""/>
      <w:lvlJc w:val="left"/>
      <w:pPr>
        <w:ind w:left="1080" w:hanging="360"/>
      </w:pPr>
      <w:rPr>
        <w:rFonts w:ascii="Wingdings" w:hAnsi="Wingdings" w:hint="default"/>
        <w:color w:val="46555F"/>
        <w:sz w:val="22"/>
        <w:szCs w:val="2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46D3226"/>
    <w:multiLevelType w:val="hybridMultilevel"/>
    <w:tmpl w:val="ADA4F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362F5E"/>
    <w:multiLevelType w:val="hybridMultilevel"/>
    <w:tmpl w:val="B27CD2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D80669"/>
    <w:multiLevelType w:val="hybridMultilevel"/>
    <w:tmpl w:val="36AA86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CB007F"/>
    <w:multiLevelType w:val="multilevel"/>
    <w:tmpl w:val="7AC8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237C4C"/>
    <w:multiLevelType w:val="hybridMultilevel"/>
    <w:tmpl w:val="59E404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774FA1"/>
    <w:multiLevelType w:val="multilevel"/>
    <w:tmpl w:val="18B6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A86B71"/>
    <w:multiLevelType w:val="hybridMultilevel"/>
    <w:tmpl w:val="3A6A7F9E"/>
    <w:lvl w:ilvl="0" w:tplc="0C09000F">
      <w:start w:val="1"/>
      <w:numFmt w:val="decimal"/>
      <w:lvlText w:val="%1."/>
      <w:lvlJc w:val="left"/>
      <w:pPr>
        <w:ind w:left="720" w:hanging="360"/>
      </w:pPr>
      <w:rPr>
        <w:rFont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04126E"/>
    <w:multiLevelType w:val="hybridMultilevel"/>
    <w:tmpl w:val="76C84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DD197E"/>
    <w:multiLevelType w:val="hybridMultilevel"/>
    <w:tmpl w:val="7A80F43A"/>
    <w:lvl w:ilvl="0" w:tplc="0C09000F">
      <w:start w:val="1"/>
      <w:numFmt w:val="decimal"/>
      <w:lvlText w:val="%1."/>
      <w:lvlJc w:val="left"/>
      <w:pPr>
        <w:ind w:left="720" w:hanging="360"/>
      </w:pPr>
      <w:rPr>
        <w:rFont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4C5495"/>
    <w:multiLevelType w:val="multilevel"/>
    <w:tmpl w:val="3124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93441B"/>
    <w:multiLevelType w:val="hybridMultilevel"/>
    <w:tmpl w:val="2A902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0"/>
  </w:num>
  <w:num w:numId="4">
    <w:abstractNumId w:val="0"/>
  </w:num>
  <w:num w:numId="5">
    <w:abstractNumId w:val="19"/>
  </w:num>
  <w:num w:numId="6">
    <w:abstractNumId w:val="29"/>
  </w:num>
  <w:num w:numId="7">
    <w:abstractNumId w:val="26"/>
  </w:num>
  <w:num w:numId="8">
    <w:abstractNumId w:val="2"/>
  </w:num>
  <w:num w:numId="9">
    <w:abstractNumId w:val="12"/>
  </w:num>
  <w:num w:numId="10">
    <w:abstractNumId w:val="13"/>
  </w:num>
  <w:num w:numId="11">
    <w:abstractNumId w:val="11"/>
  </w:num>
  <w:num w:numId="12">
    <w:abstractNumId w:val="1"/>
  </w:num>
  <w:num w:numId="13">
    <w:abstractNumId w:val="23"/>
  </w:num>
  <w:num w:numId="14">
    <w:abstractNumId w:val="17"/>
  </w:num>
  <w:num w:numId="15">
    <w:abstractNumId w:val="6"/>
    <w:lvlOverride w:ilvl="0">
      <w:startOverride w:val="1"/>
    </w:lvlOverride>
  </w:num>
  <w:num w:numId="16">
    <w:abstractNumId w:val="8"/>
  </w:num>
  <w:num w:numId="17">
    <w:abstractNumId w:val="24"/>
    <w:lvlOverride w:ilvl="0">
      <w:startOverride w:val="1"/>
    </w:lvlOverride>
  </w:num>
  <w:num w:numId="18">
    <w:abstractNumId w:val="28"/>
    <w:lvlOverride w:ilvl="0">
      <w:startOverride w:val="1"/>
    </w:lvlOverride>
  </w:num>
  <w:num w:numId="19">
    <w:abstractNumId w:val="16"/>
    <w:lvlOverride w:ilvl="0">
      <w:startOverride w:val="3"/>
    </w:lvlOverride>
  </w:num>
  <w:num w:numId="20">
    <w:abstractNumId w:val="16"/>
    <w:lvlOverride w:ilvl="0">
      <w:lvl w:ilvl="0">
        <w:numFmt w:val="decimal"/>
        <w:lvlText w:val="%1."/>
        <w:lvlJc w:val="left"/>
      </w:lvl>
    </w:lvlOverride>
  </w:num>
  <w:num w:numId="21">
    <w:abstractNumId w:val="22"/>
  </w:num>
  <w:num w:numId="22">
    <w:abstractNumId w:val="7"/>
  </w:num>
  <w:num w:numId="23">
    <w:abstractNumId w:val="5"/>
  </w:num>
  <w:num w:numId="24">
    <w:abstractNumId w:val="3"/>
  </w:num>
  <w:num w:numId="25">
    <w:abstractNumId w:val="10"/>
  </w:num>
  <w:num w:numId="26">
    <w:abstractNumId w:val="15"/>
  </w:num>
  <w:num w:numId="27">
    <w:abstractNumId w:val="14"/>
  </w:num>
  <w:num w:numId="28">
    <w:abstractNumId w:val="4"/>
  </w:num>
  <w:num w:numId="29">
    <w:abstractNumId w:val="25"/>
  </w:num>
  <w:num w:numId="30">
    <w:abstractNumId w:val="2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EF"/>
    <w:rsid w:val="00005D3B"/>
    <w:rsid w:val="00014F4F"/>
    <w:rsid w:val="00015785"/>
    <w:rsid w:val="00017E0D"/>
    <w:rsid w:val="00026D65"/>
    <w:rsid w:val="00054504"/>
    <w:rsid w:val="00055EC1"/>
    <w:rsid w:val="00056513"/>
    <w:rsid w:val="00071749"/>
    <w:rsid w:val="000A1757"/>
    <w:rsid w:val="000A778A"/>
    <w:rsid w:val="000B3BF5"/>
    <w:rsid w:val="000C2223"/>
    <w:rsid w:val="000D03A0"/>
    <w:rsid w:val="000E2A9D"/>
    <w:rsid w:val="000E62AA"/>
    <w:rsid w:val="000E770C"/>
    <w:rsid w:val="000F0B2C"/>
    <w:rsid w:val="001031C4"/>
    <w:rsid w:val="0010527D"/>
    <w:rsid w:val="00125B4F"/>
    <w:rsid w:val="00126E1C"/>
    <w:rsid w:val="00126F00"/>
    <w:rsid w:val="00132A13"/>
    <w:rsid w:val="00140E2C"/>
    <w:rsid w:val="00142A2A"/>
    <w:rsid w:val="00142C59"/>
    <w:rsid w:val="00142DC0"/>
    <w:rsid w:val="00143708"/>
    <w:rsid w:val="001456DD"/>
    <w:rsid w:val="0015020D"/>
    <w:rsid w:val="00153C90"/>
    <w:rsid w:val="00157411"/>
    <w:rsid w:val="001901C4"/>
    <w:rsid w:val="00197DEA"/>
    <w:rsid w:val="001A0753"/>
    <w:rsid w:val="001A599F"/>
    <w:rsid w:val="001B60EA"/>
    <w:rsid w:val="001C5791"/>
    <w:rsid w:val="001D1292"/>
    <w:rsid w:val="001D1381"/>
    <w:rsid w:val="001D36E1"/>
    <w:rsid w:val="001E50DB"/>
    <w:rsid w:val="001F16A2"/>
    <w:rsid w:val="00210109"/>
    <w:rsid w:val="002208AD"/>
    <w:rsid w:val="00224DC8"/>
    <w:rsid w:val="00230BE6"/>
    <w:rsid w:val="0023188F"/>
    <w:rsid w:val="00236FCE"/>
    <w:rsid w:val="00237492"/>
    <w:rsid w:val="0024657C"/>
    <w:rsid w:val="00256C06"/>
    <w:rsid w:val="00257FB3"/>
    <w:rsid w:val="002704B4"/>
    <w:rsid w:val="00276581"/>
    <w:rsid w:val="002818FB"/>
    <w:rsid w:val="00284044"/>
    <w:rsid w:val="00284EDA"/>
    <w:rsid w:val="00292ADD"/>
    <w:rsid w:val="002B05C2"/>
    <w:rsid w:val="002B606E"/>
    <w:rsid w:val="002C0F0C"/>
    <w:rsid w:val="002C4B36"/>
    <w:rsid w:val="002C4E70"/>
    <w:rsid w:val="002D1869"/>
    <w:rsid w:val="002D294B"/>
    <w:rsid w:val="002D29A8"/>
    <w:rsid w:val="002D7F82"/>
    <w:rsid w:val="002E0167"/>
    <w:rsid w:val="002E389F"/>
    <w:rsid w:val="002E58FA"/>
    <w:rsid w:val="002F7CBE"/>
    <w:rsid w:val="003132ED"/>
    <w:rsid w:val="00320A58"/>
    <w:rsid w:val="003434B0"/>
    <w:rsid w:val="00346951"/>
    <w:rsid w:val="00347D86"/>
    <w:rsid w:val="00352BD7"/>
    <w:rsid w:val="00360498"/>
    <w:rsid w:val="00362DB5"/>
    <w:rsid w:val="00371DBA"/>
    <w:rsid w:val="00373CC5"/>
    <w:rsid w:val="003758F5"/>
    <w:rsid w:val="00382D39"/>
    <w:rsid w:val="00383019"/>
    <w:rsid w:val="003905C8"/>
    <w:rsid w:val="00390A9B"/>
    <w:rsid w:val="003A0487"/>
    <w:rsid w:val="003A09FA"/>
    <w:rsid w:val="003A29D3"/>
    <w:rsid w:val="003A4DE1"/>
    <w:rsid w:val="003A59BC"/>
    <w:rsid w:val="003A5C81"/>
    <w:rsid w:val="003B794E"/>
    <w:rsid w:val="003C2870"/>
    <w:rsid w:val="003C5792"/>
    <w:rsid w:val="003D2091"/>
    <w:rsid w:val="003D267E"/>
    <w:rsid w:val="003D2898"/>
    <w:rsid w:val="003D2A68"/>
    <w:rsid w:val="003D5987"/>
    <w:rsid w:val="003E3DD2"/>
    <w:rsid w:val="003F4435"/>
    <w:rsid w:val="003F4863"/>
    <w:rsid w:val="0040096E"/>
    <w:rsid w:val="00405080"/>
    <w:rsid w:val="0041696E"/>
    <w:rsid w:val="0042097D"/>
    <w:rsid w:val="004215CB"/>
    <w:rsid w:val="00423CE9"/>
    <w:rsid w:val="00424544"/>
    <w:rsid w:val="004277A1"/>
    <w:rsid w:val="004315C8"/>
    <w:rsid w:val="004430E6"/>
    <w:rsid w:val="004611E7"/>
    <w:rsid w:val="00467ED4"/>
    <w:rsid w:val="00470D0C"/>
    <w:rsid w:val="00473111"/>
    <w:rsid w:val="0047578B"/>
    <w:rsid w:val="00486A8D"/>
    <w:rsid w:val="004A1179"/>
    <w:rsid w:val="004B3D32"/>
    <w:rsid w:val="004C0061"/>
    <w:rsid w:val="004C0617"/>
    <w:rsid w:val="004C347F"/>
    <w:rsid w:val="004D4116"/>
    <w:rsid w:val="004F3F93"/>
    <w:rsid w:val="00503EA9"/>
    <w:rsid w:val="00513EAE"/>
    <w:rsid w:val="00516A51"/>
    <w:rsid w:val="00524170"/>
    <w:rsid w:val="00532E35"/>
    <w:rsid w:val="0053734A"/>
    <w:rsid w:val="0054484B"/>
    <w:rsid w:val="00547B0A"/>
    <w:rsid w:val="00554D06"/>
    <w:rsid w:val="00557738"/>
    <w:rsid w:val="00570536"/>
    <w:rsid w:val="00584023"/>
    <w:rsid w:val="00584BE9"/>
    <w:rsid w:val="00592A5F"/>
    <w:rsid w:val="00593299"/>
    <w:rsid w:val="005A477C"/>
    <w:rsid w:val="005B02B9"/>
    <w:rsid w:val="005B433D"/>
    <w:rsid w:val="005B5548"/>
    <w:rsid w:val="005C12D3"/>
    <w:rsid w:val="005C2E53"/>
    <w:rsid w:val="005C597D"/>
    <w:rsid w:val="005C5A39"/>
    <w:rsid w:val="005C645D"/>
    <w:rsid w:val="005D49A1"/>
    <w:rsid w:val="005D5A8F"/>
    <w:rsid w:val="005D60C8"/>
    <w:rsid w:val="005D6A4D"/>
    <w:rsid w:val="005E44C5"/>
    <w:rsid w:val="005F2A44"/>
    <w:rsid w:val="0060194E"/>
    <w:rsid w:val="006125C5"/>
    <w:rsid w:val="006166DF"/>
    <w:rsid w:val="00624F31"/>
    <w:rsid w:val="00625C53"/>
    <w:rsid w:val="00626861"/>
    <w:rsid w:val="00635465"/>
    <w:rsid w:val="00643B6A"/>
    <w:rsid w:val="00645BF8"/>
    <w:rsid w:val="006579EF"/>
    <w:rsid w:val="006636FD"/>
    <w:rsid w:val="00673072"/>
    <w:rsid w:val="00674200"/>
    <w:rsid w:val="00677BB9"/>
    <w:rsid w:val="00680114"/>
    <w:rsid w:val="006812F0"/>
    <w:rsid w:val="00682867"/>
    <w:rsid w:val="00686066"/>
    <w:rsid w:val="006A157E"/>
    <w:rsid w:val="006A21F7"/>
    <w:rsid w:val="006B098D"/>
    <w:rsid w:val="006C21E5"/>
    <w:rsid w:val="006D5299"/>
    <w:rsid w:val="006D6191"/>
    <w:rsid w:val="006D6A17"/>
    <w:rsid w:val="006E62B2"/>
    <w:rsid w:val="006F1AB1"/>
    <w:rsid w:val="006F2D14"/>
    <w:rsid w:val="007019FA"/>
    <w:rsid w:val="007147E2"/>
    <w:rsid w:val="00715E97"/>
    <w:rsid w:val="0071776D"/>
    <w:rsid w:val="00724960"/>
    <w:rsid w:val="0072637A"/>
    <w:rsid w:val="007370A9"/>
    <w:rsid w:val="00740860"/>
    <w:rsid w:val="00744360"/>
    <w:rsid w:val="00745273"/>
    <w:rsid w:val="00751D02"/>
    <w:rsid w:val="00753E37"/>
    <w:rsid w:val="00780087"/>
    <w:rsid w:val="00781DCA"/>
    <w:rsid w:val="00790826"/>
    <w:rsid w:val="00791C56"/>
    <w:rsid w:val="00793997"/>
    <w:rsid w:val="00793AEB"/>
    <w:rsid w:val="00795127"/>
    <w:rsid w:val="007A7118"/>
    <w:rsid w:val="007B20D6"/>
    <w:rsid w:val="007B50A8"/>
    <w:rsid w:val="007C510C"/>
    <w:rsid w:val="007D04D2"/>
    <w:rsid w:val="007D19A5"/>
    <w:rsid w:val="007D52B3"/>
    <w:rsid w:val="007D6276"/>
    <w:rsid w:val="007D73D9"/>
    <w:rsid w:val="007E7CBD"/>
    <w:rsid w:val="007F242A"/>
    <w:rsid w:val="007F2E93"/>
    <w:rsid w:val="007F5E4F"/>
    <w:rsid w:val="00811B25"/>
    <w:rsid w:val="00814367"/>
    <w:rsid w:val="00815C7B"/>
    <w:rsid w:val="00816CC4"/>
    <w:rsid w:val="00817526"/>
    <w:rsid w:val="00833A54"/>
    <w:rsid w:val="00837B3C"/>
    <w:rsid w:val="00844732"/>
    <w:rsid w:val="0084791A"/>
    <w:rsid w:val="0085445E"/>
    <w:rsid w:val="0085459B"/>
    <w:rsid w:val="008720B5"/>
    <w:rsid w:val="0087392C"/>
    <w:rsid w:val="00886136"/>
    <w:rsid w:val="00887D5F"/>
    <w:rsid w:val="0089059D"/>
    <w:rsid w:val="00890A2D"/>
    <w:rsid w:val="008A2F16"/>
    <w:rsid w:val="008A3168"/>
    <w:rsid w:val="008A3690"/>
    <w:rsid w:val="008A41D9"/>
    <w:rsid w:val="008B5E6F"/>
    <w:rsid w:val="008B7AFF"/>
    <w:rsid w:val="008B7F1B"/>
    <w:rsid w:val="008C010E"/>
    <w:rsid w:val="008C5021"/>
    <w:rsid w:val="008D4C51"/>
    <w:rsid w:val="008D4E6A"/>
    <w:rsid w:val="008E1C99"/>
    <w:rsid w:val="008E1DA9"/>
    <w:rsid w:val="008F2D44"/>
    <w:rsid w:val="008F6A69"/>
    <w:rsid w:val="008F77DC"/>
    <w:rsid w:val="00901ECE"/>
    <w:rsid w:val="009131D8"/>
    <w:rsid w:val="0091558D"/>
    <w:rsid w:val="00920104"/>
    <w:rsid w:val="00945064"/>
    <w:rsid w:val="0094615E"/>
    <w:rsid w:val="0095014E"/>
    <w:rsid w:val="00954E08"/>
    <w:rsid w:val="009552AC"/>
    <w:rsid w:val="009554A5"/>
    <w:rsid w:val="00960091"/>
    <w:rsid w:val="009700AC"/>
    <w:rsid w:val="0097702C"/>
    <w:rsid w:val="00992263"/>
    <w:rsid w:val="00994FC8"/>
    <w:rsid w:val="009A26D9"/>
    <w:rsid w:val="009B1A27"/>
    <w:rsid w:val="009C3218"/>
    <w:rsid w:val="009D4216"/>
    <w:rsid w:val="009D63BD"/>
    <w:rsid w:val="009D64FF"/>
    <w:rsid w:val="009E370E"/>
    <w:rsid w:val="009E4383"/>
    <w:rsid w:val="009F29C4"/>
    <w:rsid w:val="009F4B99"/>
    <w:rsid w:val="009F725B"/>
    <w:rsid w:val="00A006AF"/>
    <w:rsid w:val="00A00F9B"/>
    <w:rsid w:val="00A03D8D"/>
    <w:rsid w:val="00A044E0"/>
    <w:rsid w:val="00A070E1"/>
    <w:rsid w:val="00A15061"/>
    <w:rsid w:val="00A150E5"/>
    <w:rsid w:val="00A17FE1"/>
    <w:rsid w:val="00A23AC9"/>
    <w:rsid w:val="00A25CC0"/>
    <w:rsid w:val="00A26DB7"/>
    <w:rsid w:val="00A34748"/>
    <w:rsid w:val="00A40FE6"/>
    <w:rsid w:val="00A46EC1"/>
    <w:rsid w:val="00A51FED"/>
    <w:rsid w:val="00A56A4B"/>
    <w:rsid w:val="00A5791B"/>
    <w:rsid w:val="00A609F2"/>
    <w:rsid w:val="00A61038"/>
    <w:rsid w:val="00A7619E"/>
    <w:rsid w:val="00A8216E"/>
    <w:rsid w:val="00A826E8"/>
    <w:rsid w:val="00A9503F"/>
    <w:rsid w:val="00AA04E4"/>
    <w:rsid w:val="00AA49D4"/>
    <w:rsid w:val="00AC0832"/>
    <w:rsid w:val="00AC1D12"/>
    <w:rsid w:val="00AC417B"/>
    <w:rsid w:val="00AD0673"/>
    <w:rsid w:val="00AD0E80"/>
    <w:rsid w:val="00AE31DF"/>
    <w:rsid w:val="00AE48CE"/>
    <w:rsid w:val="00B05161"/>
    <w:rsid w:val="00B1195E"/>
    <w:rsid w:val="00B119C0"/>
    <w:rsid w:val="00B127CF"/>
    <w:rsid w:val="00B155F8"/>
    <w:rsid w:val="00B22D97"/>
    <w:rsid w:val="00B35927"/>
    <w:rsid w:val="00B43355"/>
    <w:rsid w:val="00B55D51"/>
    <w:rsid w:val="00B67DF2"/>
    <w:rsid w:val="00B73CD1"/>
    <w:rsid w:val="00B83CC7"/>
    <w:rsid w:val="00B940F1"/>
    <w:rsid w:val="00BA2C97"/>
    <w:rsid w:val="00BA2D11"/>
    <w:rsid w:val="00BA404B"/>
    <w:rsid w:val="00BB1E5A"/>
    <w:rsid w:val="00BB5813"/>
    <w:rsid w:val="00BC344D"/>
    <w:rsid w:val="00BC4ABE"/>
    <w:rsid w:val="00BC6BF5"/>
    <w:rsid w:val="00BD6713"/>
    <w:rsid w:val="00BD6F4A"/>
    <w:rsid w:val="00BE0C67"/>
    <w:rsid w:val="00BE4E2B"/>
    <w:rsid w:val="00C062CC"/>
    <w:rsid w:val="00C12025"/>
    <w:rsid w:val="00C203F7"/>
    <w:rsid w:val="00C255BD"/>
    <w:rsid w:val="00C259AC"/>
    <w:rsid w:val="00C27CFF"/>
    <w:rsid w:val="00C311D2"/>
    <w:rsid w:val="00C3321C"/>
    <w:rsid w:val="00C378FA"/>
    <w:rsid w:val="00C51BF9"/>
    <w:rsid w:val="00C60C95"/>
    <w:rsid w:val="00C6292C"/>
    <w:rsid w:val="00C63C0B"/>
    <w:rsid w:val="00C740E4"/>
    <w:rsid w:val="00C83034"/>
    <w:rsid w:val="00C87708"/>
    <w:rsid w:val="00C87F06"/>
    <w:rsid w:val="00C917D1"/>
    <w:rsid w:val="00CB0120"/>
    <w:rsid w:val="00CB4D36"/>
    <w:rsid w:val="00CC6E26"/>
    <w:rsid w:val="00CD27EB"/>
    <w:rsid w:val="00CD6527"/>
    <w:rsid w:val="00CE60EF"/>
    <w:rsid w:val="00CF1CEA"/>
    <w:rsid w:val="00CF48C6"/>
    <w:rsid w:val="00D0163D"/>
    <w:rsid w:val="00D0461F"/>
    <w:rsid w:val="00D11E54"/>
    <w:rsid w:val="00D141D3"/>
    <w:rsid w:val="00D200BB"/>
    <w:rsid w:val="00D25C78"/>
    <w:rsid w:val="00D2784E"/>
    <w:rsid w:val="00D33497"/>
    <w:rsid w:val="00D371F1"/>
    <w:rsid w:val="00D431EE"/>
    <w:rsid w:val="00D642B2"/>
    <w:rsid w:val="00D8333C"/>
    <w:rsid w:val="00DA0135"/>
    <w:rsid w:val="00DA0265"/>
    <w:rsid w:val="00DA1A1C"/>
    <w:rsid w:val="00DA599E"/>
    <w:rsid w:val="00DB4645"/>
    <w:rsid w:val="00DB57C8"/>
    <w:rsid w:val="00DC7CF2"/>
    <w:rsid w:val="00DD2F26"/>
    <w:rsid w:val="00DD3758"/>
    <w:rsid w:val="00DD3943"/>
    <w:rsid w:val="00DE1ACF"/>
    <w:rsid w:val="00DE54A4"/>
    <w:rsid w:val="00DE7DE5"/>
    <w:rsid w:val="00DF1E71"/>
    <w:rsid w:val="00DF74F0"/>
    <w:rsid w:val="00E00D77"/>
    <w:rsid w:val="00E1178D"/>
    <w:rsid w:val="00E123F8"/>
    <w:rsid w:val="00E13A2C"/>
    <w:rsid w:val="00E15CE2"/>
    <w:rsid w:val="00E15D60"/>
    <w:rsid w:val="00E23EE1"/>
    <w:rsid w:val="00E34888"/>
    <w:rsid w:val="00E3771F"/>
    <w:rsid w:val="00E61E0D"/>
    <w:rsid w:val="00E811E3"/>
    <w:rsid w:val="00E91E27"/>
    <w:rsid w:val="00E96EAC"/>
    <w:rsid w:val="00EA5753"/>
    <w:rsid w:val="00EB2F61"/>
    <w:rsid w:val="00EB4FBB"/>
    <w:rsid w:val="00EC0129"/>
    <w:rsid w:val="00EC6E88"/>
    <w:rsid w:val="00ED4DCE"/>
    <w:rsid w:val="00ED53BA"/>
    <w:rsid w:val="00EF4156"/>
    <w:rsid w:val="00F0097F"/>
    <w:rsid w:val="00F16191"/>
    <w:rsid w:val="00F20D1A"/>
    <w:rsid w:val="00F23157"/>
    <w:rsid w:val="00F24232"/>
    <w:rsid w:val="00F30AB3"/>
    <w:rsid w:val="00F37A72"/>
    <w:rsid w:val="00F4182C"/>
    <w:rsid w:val="00F4268E"/>
    <w:rsid w:val="00F42C19"/>
    <w:rsid w:val="00F46933"/>
    <w:rsid w:val="00F51AD8"/>
    <w:rsid w:val="00F6073F"/>
    <w:rsid w:val="00F64E11"/>
    <w:rsid w:val="00F675FD"/>
    <w:rsid w:val="00F71623"/>
    <w:rsid w:val="00F73538"/>
    <w:rsid w:val="00F7708C"/>
    <w:rsid w:val="00F8615E"/>
    <w:rsid w:val="00F901B7"/>
    <w:rsid w:val="00F94384"/>
    <w:rsid w:val="00FB1C83"/>
    <w:rsid w:val="00FB6AC7"/>
    <w:rsid w:val="00FD0210"/>
    <w:rsid w:val="00FE3A1F"/>
    <w:rsid w:val="00FF0F73"/>
    <w:rsid w:val="00FF44C5"/>
    <w:rsid w:val="00FF7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E5755"/>
  <w15:chartTrackingRefBased/>
  <w15:docId w15:val="{AAB82E7F-6733-4194-B890-504F86BC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E88"/>
    <w:rPr>
      <w:rFonts w:ascii="Arial" w:hAnsi="Arial"/>
      <w:sz w:val="24"/>
    </w:rPr>
  </w:style>
  <w:style w:type="paragraph" w:styleId="Heading1">
    <w:name w:val="heading 1"/>
    <w:basedOn w:val="Normal"/>
    <w:next w:val="Normal"/>
    <w:link w:val="Heading1Char"/>
    <w:uiPriority w:val="9"/>
    <w:qFormat/>
    <w:rsid w:val="003D20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10"/>
    <w:pPr>
      <w:ind w:left="720"/>
      <w:contextualSpacing/>
    </w:pPr>
  </w:style>
  <w:style w:type="character" w:styleId="CommentReference">
    <w:name w:val="annotation reference"/>
    <w:basedOn w:val="DefaultParagraphFont"/>
    <w:uiPriority w:val="99"/>
    <w:semiHidden/>
    <w:unhideWhenUsed/>
    <w:rsid w:val="00C062CC"/>
    <w:rPr>
      <w:sz w:val="16"/>
      <w:szCs w:val="16"/>
    </w:rPr>
  </w:style>
  <w:style w:type="paragraph" w:styleId="CommentText">
    <w:name w:val="annotation text"/>
    <w:basedOn w:val="Normal"/>
    <w:link w:val="CommentTextChar"/>
    <w:uiPriority w:val="99"/>
    <w:semiHidden/>
    <w:unhideWhenUsed/>
    <w:rsid w:val="00C062CC"/>
    <w:pPr>
      <w:spacing w:line="240" w:lineRule="auto"/>
    </w:pPr>
    <w:rPr>
      <w:sz w:val="20"/>
      <w:szCs w:val="20"/>
    </w:rPr>
  </w:style>
  <w:style w:type="character" w:customStyle="1" w:styleId="CommentTextChar">
    <w:name w:val="Comment Text Char"/>
    <w:basedOn w:val="DefaultParagraphFont"/>
    <w:link w:val="CommentText"/>
    <w:uiPriority w:val="99"/>
    <w:semiHidden/>
    <w:rsid w:val="00C06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62CC"/>
    <w:rPr>
      <w:b/>
      <w:bCs/>
    </w:rPr>
  </w:style>
  <w:style w:type="character" w:customStyle="1" w:styleId="CommentSubjectChar">
    <w:name w:val="Comment Subject Char"/>
    <w:basedOn w:val="CommentTextChar"/>
    <w:link w:val="CommentSubject"/>
    <w:uiPriority w:val="99"/>
    <w:semiHidden/>
    <w:rsid w:val="00C062CC"/>
    <w:rPr>
      <w:rFonts w:ascii="Arial" w:hAnsi="Arial"/>
      <w:b/>
      <w:bCs/>
      <w:sz w:val="20"/>
      <w:szCs w:val="20"/>
    </w:rPr>
  </w:style>
  <w:style w:type="paragraph" w:styleId="BalloonText">
    <w:name w:val="Balloon Text"/>
    <w:basedOn w:val="Normal"/>
    <w:link w:val="BalloonTextChar"/>
    <w:uiPriority w:val="99"/>
    <w:semiHidden/>
    <w:unhideWhenUsed/>
    <w:rsid w:val="00A40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E6"/>
    <w:rPr>
      <w:rFonts w:ascii="Segoe UI" w:hAnsi="Segoe UI" w:cs="Segoe UI"/>
      <w:sz w:val="18"/>
      <w:szCs w:val="18"/>
    </w:rPr>
  </w:style>
  <w:style w:type="character" w:customStyle="1" w:styleId="Heading1Char">
    <w:name w:val="Heading 1 Char"/>
    <w:basedOn w:val="DefaultParagraphFont"/>
    <w:link w:val="Heading1"/>
    <w:uiPriority w:val="9"/>
    <w:rsid w:val="003D2091"/>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4C347F"/>
    <w:pPr>
      <w:numPr>
        <w:numId w:val="1"/>
      </w:numPr>
      <w:contextualSpacing/>
    </w:pPr>
    <w:rPr>
      <w:rFonts w:asciiTheme="minorHAnsi" w:eastAsiaTheme="minorEastAsia" w:hAnsiTheme="minorHAnsi"/>
      <w:sz w:val="22"/>
      <w:lang w:val="en-US"/>
    </w:rPr>
  </w:style>
  <w:style w:type="paragraph" w:styleId="NormalWeb">
    <w:name w:val="Normal (Web)"/>
    <w:basedOn w:val="Normal"/>
    <w:uiPriority w:val="99"/>
    <w:semiHidden/>
    <w:unhideWhenUsed/>
    <w:rsid w:val="00C51BF9"/>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C51BF9"/>
    <w:rPr>
      <w:color w:val="0000FF"/>
      <w:u w:val="single"/>
    </w:rPr>
  </w:style>
  <w:style w:type="paragraph" w:styleId="EndnoteText">
    <w:name w:val="endnote text"/>
    <w:basedOn w:val="Normal"/>
    <w:link w:val="EndnoteTextChar"/>
    <w:uiPriority w:val="99"/>
    <w:unhideWhenUsed/>
    <w:qFormat/>
    <w:rsid w:val="00BC6BF5"/>
    <w:pPr>
      <w:spacing w:after="0" w:line="240" w:lineRule="auto"/>
    </w:pPr>
    <w:rPr>
      <w:rFonts w:asciiTheme="minorHAnsi" w:eastAsiaTheme="minorEastAsia" w:hAnsiTheme="minorHAnsi"/>
      <w:sz w:val="20"/>
      <w:szCs w:val="20"/>
      <w:lang w:val="en-US"/>
    </w:rPr>
  </w:style>
  <w:style w:type="character" w:customStyle="1" w:styleId="EndnoteTextChar">
    <w:name w:val="Endnote Text Char"/>
    <w:basedOn w:val="DefaultParagraphFont"/>
    <w:link w:val="EndnoteText"/>
    <w:uiPriority w:val="99"/>
    <w:rsid w:val="00BC6BF5"/>
    <w:rPr>
      <w:rFonts w:eastAsiaTheme="minorEastAsia"/>
      <w:sz w:val="20"/>
      <w:szCs w:val="20"/>
      <w:lang w:val="en-US"/>
    </w:rPr>
  </w:style>
  <w:style w:type="character" w:styleId="EndnoteReference">
    <w:name w:val="endnote reference"/>
    <w:basedOn w:val="DefaultParagraphFont"/>
    <w:uiPriority w:val="99"/>
    <w:unhideWhenUsed/>
    <w:qFormat/>
    <w:rsid w:val="00BC6BF5"/>
    <w:rPr>
      <w:vertAlign w:val="superscript"/>
    </w:rPr>
  </w:style>
  <w:style w:type="paragraph" w:styleId="Header">
    <w:name w:val="header"/>
    <w:basedOn w:val="Normal"/>
    <w:link w:val="HeaderChar"/>
    <w:uiPriority w:val="99"/>
    <w:unhideWhenUsed/>
    <w:rsid w:val="00E37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71F"/>
    <w:rPr>
      <w:rFonts w:ascii="Arial" w:hAnsi="Arial"/>
      <w:sz w:val="24"/>
    </w:rPr>
  </w:style>
  <w:style w:type="paragraph" w:styleId="Footer">
    <w:name w:val="footer"/>
    <w:basedOn w:val="Normal"/>
    <w:link w:val="FooterChar"/>
    <w:uiPriority w:val="99"/>
    <w:unhideWhenUsed/>
    <w:rsid w:val="00E3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71F"/>
    <w:rPr>
      <w:rFonts w:ascii="Arial" w:hAnsi="Arial"/>
      <w:sz w:val="24"/>
    </w:rPr>
  </w:style>
  <w:style w:type="paragraph" w:styleId="Revision">
    <w:name w:val="Revision"/>
    <w:hidden/>
    <w:uiPriority w:val="99"/>
    <w:semiHidden/>
    <w:rsid w:val="00F8615E"/>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ED53BA"/>
    <w:rPr>
      <w:color w:val="605E5C"/>
      <w:shd w:val="clear" w:color="auto" w:fill="E1DFDD"/>
    </w:rPr>
  </w:style>
  <w:style w:type="character" w:styleId="FollowedHyperlink">
    <w:name w:val="FollowedHyperlink"/>
    <w:basedOn w:val="DefaultParagraphFont"/>
    <w:uiPriority w:val="99"/>
    <w:semiHidden/>
    <w:unhideWhenUsed/>
    <w:rsid w:val="00F30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7091">
      <w:bodyDiv w:val="1"/>
      <w:marLeft w:val="0"/>
      <w:marRight w:val="0"/>
      <w:marTop w:val="0"/>
      <w:marBottom w:val="0"/>
      <w:divBdr>
        <w:top w:val="none" w:sz="0" w:space="0" w:color="auto"/>
        <w:left w:val="none" w:sz="0" w:space="0" w:color="auto"/>
        <w:bottom w:val="none" w:sz="0" w:space="0" w:color="auto"/>
        <w:right w:val="none" w:sz="0" w:space="0" w:color="auto"/>
      </w:divBdr>
    </w:div>
    <w:div w:id="737477340">
      <w:bodyDiv w:val="1"/>
      <w:marLeft w:val="0"/>
      <w:marRight w:val="0"/>
      <w:marTop w:val="0"/>
      <w:marBottom w:val="0"/>
      <w:divBdr>
        <w:top w:val="none" w:sz="0" w:space="0" w:color="auto"/>
        <w:left w:val="none" w:sz="0" w:space="0" w:color="auto"/>
        <w:bottom w:val="none" w:sz="0" w:space="0" w:color="auto"/>
        <w:right w:val="none" w:sz="0" w:space="0" w:color="auto"/>
      </w:divBdr>
      <w:divsChild>
        <w:div w:id="1483042750">
          <w:marLeft w:val="0"/>
          <w:marRight w:val="0"/>
          <w:marTop w:val="300"/>
          <w:marBottom w:val="0"/>
          <w:divBdr>
            <w:top w:val="none" w:sz="0" w:space="0" w:color="auto"/>
            <w:left w:val="none" w:sz="0" w:space="0" w:color="auto"/>
            <w:bottom w:val="none" w:sz="0" w:space="0" w:color="auto"/>
            <w:right w:val="none" w:sz="0" w:space="0" w:color="auto"/>
          </w:divBdr>
          <w:divsChild>
            <w:div w:id="1558320615">
              <w:marLeft w:val="0"/>
              <w:marRight w:val="0"/>
              <w:marTop w:val="0"/>
              <w:marBottom w:val="0"/>
              <w:divBdr>
                <w:top w:val="none" w:sz="0" w:space="0" w:color="auto"/>
                <w:left w:val="none" w:sz="0" w:space="0" w:color="auto"/>
                <w:bottom w:val="none" w:sz="0" w:space="0" w:color="auto"/>
                <w:right w:val="none" w:sz="0" w:space="0" w:color="auto"/>
              </w:divBdr>
              <w:divsChild>
                <w:div w:id="141119124">
                  <w:marLeft w:val="0"/>
                  <w:marRight w:val="0"/>
                  <w:marTop w:val="0"/>
                  <w:marBottom w:val="0"/>
                  <w:divBdr>
                    <w:top w:val="none" w:sz="0" w:space="0" w:color="auto"/>
                    <w:left w:val="none" w:sz="0" w:space="0" w:color="auto"/>
                    <w:bottom w:val="none" w:sz="0" w:space="0" w:color="auto"/>
                    <w:right w:val="none" w:sz="0" w:space="0" w:color="auto"/>
                  </w:divBdr>
                  <w:divsChild>
                    <w:div w:id="1635871420">
                      <w:marLeft w:val="0"/>
                      <w:marRight w:val="0"/>
                      <w:marTop w:val="0"/>
                      <w:marBottom w:val="0"/>
                      <w:divBdr>
                        <w:top w:val="none" w:sz="0" w:space="0" w:color="auto"/>
                        <w:left w:val="none" w:sz="0" w:space="0" w:color="auto"/>
                        <w:bottom w:val="none" w:sz="0" w:space="0" w:color="auto"/>
                        <w:right w:val="none" w:sz="0" w:space="0" w:color="auto"/>
                      </w:divBdr>
                    </w:div>
                    <w:div w:id="1657491560">
                      <w:marLeft w:val="0"/>
                      <w:marRight w:val="0"/>
                      <w:marTop w:val="0"/>
                      <w:marBottom w:val="0"/>
                      <w:divBdr>
                        <w:top w:val="none" w:sz="0" w:space="0" w:color="auto"/>
                        <w:left w:val="none" w:sz="0" w:space="0" w:color="auto"/>
                        <w:bottom w:val="none" w:sz="0" w:space="0" w:color="auto"/>
                        <w:right w:val="none" w:sz="0" w:space="0" w:color="auto"/>
                      </w:divBdr>
                    </w:div>
                    <w:div w:id="983042768">
                      <w:marLeft w:val="0"/>
                      <w:marRight w:val="0"/>
                      <w:marTop w:val="0"/>
                      <w:marBottom w:val="0"/>
                      <w:divBdr>
                        <w:top w:val="none" w:sz="0" w:space="0" w:color="auto"/>
                        <w:left w:val="none" w:sz="0" w:space="0" w:color="auto"/>
                        <w:bottom w:val="none" w:sz="0" w:space="0" w:color="auto"/>
                        <w:right w:val="none" w:sz="0" w:space="0" w:color="auto"/>
                      </w:divBdr>
                    </w:div>
                    <w:div w:id="132186756">
                      <w:marLeft w:val="0"/>
                      <w:marRight w:val="0"/>
                      <w:marTop w:val="0"/>
                      <w:marBottom w:val="0"/>
                      <w:divBdr>
                        <w:top w:val="none" w:sz="0" w:space="0" w:color="auto"/>
                        <w:left w:val="none" w:sz="0" w:space="0" w:color="auto"/>
                        <w:bottom w:val="none" w:sz="0" w:space="0" w:color="auto"/>
                        <w:right w:val="none" w:sz="0" w:space="0" w:color="auto"/>
                      </w:divBdr>
                    </w:div>
                    <w:div w:id="400107379">
                      <w:marLeft w:val="0"/>
                      <w:marRight w:val="0"/>
                      <w:marTop w:val="0"/>
                      <w:marBottom w:val="0"/>
                      <w:divBdr>
                        <w:top w:val="none" w:sz="0" w:space="0" w:color="auto"/>
                        <w:left w:val="none" w:sz="0" w:space="0" w:color="auto"/>
                        <w:bottom w:val="none" w:sz="0" w:space="0" w:color="auto"/>
                        <w:right w:val="none" w:sz="0" w:space="0" w:color="auto"/>
                      </w:divBdr>
                    </w:div>
                  </w:divsChild>
                </w:div>
                <w:div w:id="1378360298">
                  <w:marLeft w:val="0"/>
                  <w:marRight w:val="0"/>
                  <w:marTop w:val="0"/>
                  <w:marBottom w:val="0"/>
                  <w:divBdr>
                    <w:top w:val="none" w:sz="0" w:space="0" w:color="auto"/>
                    <w:left w:val="none" w:sz="0" w:space="0" w:color="auto"/>
                    <w:bottom w:val="none" w:sz="0" w:space="0" w:color="auto"/>
                    <w:right w:val="none" w:sz="0" w:space="0" w:color="auto"/>
                  </w:divBdr>
                  <w:divsChild>
                    <w:div w:id="673803587">
                      <w:marLeft w:val="0"/>
                      <w:marRight w:val="0"/>
                      <w:marTop w:val="0"/>
                      <w:marBottom w:val="0"/>
                      <w:divBdr>
                        <w:top w:val="none" w:sz="0" w:space="0" w:color="auto"/>
                        <w:left w:val="none" w:sz="0" w:space="0" w:color="auto"/>
                        <w:bottom w:val="none" w:sz="0" w:space="0" w:color="auto"/>
                        <w:right w:val="none" w:sz="0" w:space="0" w:color="auto"/>
                      </w:divBdr>
                    </w:div>
                    <w:div w:id="1515267857">
                      <w:marLeft w:val="0"/>
                      <w:marRight w:val="0"/>
                      <w:marTop w:val="0"/>
                      <w:marBottom w:val="0"/>
                      <w:divBdr>
                        <w:top w:val="none" w:sz="0" w:space="0" w:color="auto"/>
                        <w:left w:val="none" w:sz="0" w:space="0" w:color="auto"/>
                        <w:bottom w:val="none" w:sz="0" w:space="0" w:color="auto"/>
                        <w:right w:val="none" w:sz="0" w:space="0" w:color="auto"/>
                      </w:divBdr>
                    </w:div>
                    <w:div w:id="1470786702">
                      <w:marLeft w:val="0"/>
                      <w:marRight w:val="0"/>
                      <w:marTop w:val="0"/>
                      <w:marBottom w:val="0"/>
                      <w:divBdr>
                        <w:top w:val="double" w:sz="6" w:space="0" w:color="000000"/>
                        <w:left w:val="double" w:sz="6" w:space="0" w:color="000000"/>
                        <w:bottom w:val="double" w:sz="6" w:space="0" w:color="000000"/>
                        <w:right w:val="double" w:sz="6" w:space="0" w:color="000000"/>
                      </w:divBdr>
                    </w:div>
                    <w:div w:id="30033984">
                      <w:marLeft w:val="0"/>
                      <w:marRight w:val="0"/>
                      <w:marTop w:val="0"/>
                      <w:marBottom w:val="0"/>
                      <w:divBdr>
                        <w:top w:val="none" w:sz="0" w:space="0" w:color="auto"/>
                        <w:left w:val="none" w:sz="0" w:space="0" w:color="auto"/>
                        <w:bottom w:val="none" w:sz="0" w:space="0" w:color="auto"/>
                        <w:right w:val="none" w:sz="0" w:space="0" w:color="auto"/>
                      </w:divBdr>
                    </w:div>
                    <w:div w:id="1805080195">
                      <w:marLeft w:val="0"/>
                      <w:marRight w:val="0"/>
                      <w:marTop w:val="0"/>
                      <w:marBottom w:val="0"/>
                      <w:divBdr>
                        <w:top w:val="none" w:sz="0" w:space="0" w:color="auto"/>
                        <w:left w:val="none" w:sz="0" w:space="0" w:color="auto"/>
                        <w:bottom w:val="none" w:sz="0" w:space="0" w:color="auto"/>
                        <w:right w:val="none" w:sz="0" w:space="0" w:color="auto"/>
                      </w:divBdr>
                    </w:div>
                    <w:div w:id="161549825">
                      <w:marLeft w:val="0"/>
                      <w:marRight w:val="0"/>
                      <w:marTop w:val="0"/>
                      <w:marBottom w:val="0"/>
                      <w:divBdr>
                        <w:top w:val="none" w:sz="0" w:space="0" w:color="auto"/>
                        <w:left w:val="none" w:sz="0" w:space="0" w:color="auto"/>
                        <w:bottom w:val="none" w:sz="0" w:space="0" w:color="auto"/>
                        <w:right w:val="none" w:sz="0" w:space="0" w:color="auto"/>
                      </w:divBdr>
                    </w:div>
                  </w:divsChild>
                </w:div>
                <w:div w:id="272441732">
                  <w:marLeft w:val="0"/>
                  <w:marRight w:val="0"/>
                  <w:marTop w:val="0"/>
                  <w:marBottom w:val="0"/>
                  <w:divBdr>
                    <w:top w:val="none" w:sz="0" w:space="0" w:color="auto"/>
                    <w:left w:val="none" w:sz="0" w:space="0" w:color="auto"/>
                    <w:bottom w:val="none" w:sz="0" w:space="0" w:color="auto"/>
                    <w:right w:val="none" w:sz="0" w:space="0" w:color="auto"/>
                  </w:divBdr>
                  <w:divsChild>
                    <w:div w:id="1754400481">
                      <w:marLeft w:val="0"/>
                      <w:marRight w:val="0"/>
                      <w:marTop w:val="0"/>
                      <w:marBottom w:val="0"/>
                      <w:divBdr>
                        <w:top w:val="none" w:sz="0" w:space="0" w:color="auto"/>
                        <w:left w:val="none" w:sz="0" w:space="0" w:color="auto"/>
                        <w:bottom w:val="none" w:sz="0" w:space="0" w:color="auto"/>
                        <w:right w:val="none" w:sz="0" w:space="0" w:color="auto"/>
                      </w:divBdr>
                    </w:div>
                    <w:div w:id="1995795942">
                      <w:marLeft w:val="0"/>
                      <w:marRight w:val="0"/>
                      <w:marTop w:val="0"/>
                      <w:marBottom w:val="0"/>
                      <w:divBdr>
                        <w:top w:val="none" w:sz="0" w:space="0" w:color="auto"/>
                        <w:left w:val="none" w:sz="0" w:space="0" w:color="auto"/>
                        <w:bottom w:val="none" w:sz="0" w:space="0" w:color="auto"/>
                        <w:right w:val="none" w:sz="0" w:space="0" w:color="auto"/>
                      </w:divBdr>
                    </w:div>
                    <w:div w:id="1678187857">
                      <w:marLeft w:val="0"/>
                      <w:marRight w:val="0"/>
                      <w:marTop w:val="0"/>
                      <w:marBottom w:val="0"/>
                      <w:divBdr>
                        <w:top w:val="none" w:sz="0" w:space="0" w:color="auto"/>
                        <w:left w:val="none" w:sz="0" w:space="0" w:color="auto"/>
                        <w:bottom w:val="none" w:sz="0" w:space="0" w:color="auto"/>
                        <w:right w:val="none" w:sz="0" w:space="0" w:color="auto"/>
                      </w:divBdr>
                    </w:div>
                    <w:div w:id="1008672454">
                      <w:marLeft w:val="0"/>
                      <w:marRight w:val="0"/>
                      <w:marTop w:val="0"/>
                      <w:marBottom w:val="0"/>
                      <w:divBdr>
                        <w:top w:val="none" w:sz="0" w:space="0" w:color="auto"/>
                        <w:left w:val="none" w:sz="0" w:space="0" w:color="auto"/>
                        <w:bottom w:val="none" w:sz="0" w:space="0" w:color="auto"/>
                        <w:right w:val="none" w:sz="0" w:space="0" w:color="auto"/>
                      </w:divBdr>
                    </w:div>
                  </w:divsChild>
                </w:div>
                <w:div w:id="1868054513">
                  <w:marLeft w:val="0"/>
                  <w:marRight w:val="0"/>
                  <w:marTop w:val="0"/>
                  <w:marBottom w:val="0"/>
                  <w:divBdr>
                    <w:top w:val="none" w:sz="0" w:space="0" w:color="auto"/>
                    <w:left w:val="none" w:sz="0" w:space="0" w:color="auto"/>
                    <w:bottom w:val="none" w:sz="0" w:space="0" w:color="auto"/>
                    <w:right w:val="none" w:sz="0" w:space="0" w:color="auto"/>
                  </w:divBdr>
                  <w:divsChild>
                    <w:div w:id="1232811162">
                      <w:marLeft w:val="0"/>
                      <w:marRight w:val="0"/>
                      <w:marTop w:val="0"/>
                      <w:marBottom w:val="0"/>
                      <w:divBdr>
                        <w:top w:val="none" w:sz="0" w:space="0" w:color="auto"/>
                        <w:left w:val="none" w:sz="0" w:space="0" w:color="auto"/>
                        <w:bottom w:val="none" w:sz="0" w:space="0" w:color="auto"/>
                        <w:right w:val="none" w:sz="0" w:space="0" w:color="auto"/>
                      </w:divBdr>
                    </w:div>
                    <w:div w:id="2143190100">
                      <w:marLeft w:val="0"/>
                      <w:marRight w:val="0"/>
                      <w:marTop w:val="0"/>
                      <w:marBottom w:val="0"/>
                      <w:divBdr>
                        <w:top w:val="none" w:sz="0" w:space="0" w:color="auto"/>
                        <w:left w:val="none" w:sz="0" w:space="0" w:color="auto"/>
                        <w:bottom w:val="none" w:sz="0" w:space="0" w:color="auto"/>
                        <w:right w:val="none" w:sz="0" w:space="0" w:color="auto"/>
                      </w:divBdr>
                    </w:div>
                    <w:div w:id="671568890">
                      <w:marLeft w:val="0"/>
                      <w:marRight w:val="0"/>
                      <w:marTop w:val="0"/>
                      <w:marBottom w:val="0"/>
                      <w:divBdr>
                        <w:top w:val="none" w:sz="0" w:space="0" w:color="auto"/>
                        <w:left w:val="none" w:sz="0" w:space="0" w:color="auto"/>
                        <w:bottom w:val="none" w:sz="0" w:space="0" w:color="auto"/>
                        <w:right w:val="none" w:sz="0" w:space="0" w:color="auto"/>
                      </w:divBdr>
                    </w:div>
                    <w:div w:id="1278486974">
                      <w:marLeft w:val="0"/>
                      <w:marRight w:val="0"/>
                      <w:marTop w:val="0"/>
                      <w:marBottom w:val="0"/>
                      <w:divBdr>
                        <w:top w:val="none" w:sz="0" w:space="0" w:color="auto"/>
                        <w:left w:val="none" w:sz="0" w:space="0" w:color="auto"/>
                        <w:bottom w:val="none" w:sz="0" w:space="0" w:color="auto"/>
                        <w:right w:val="none" w:sz="0" w:space="0" w:color="auto"/>
                      </w:divBdr>
                    </w:div>
                  </w:divsChild>
                </w:div>
                <w:div w:id="1443382004">
                  <w:marLeft w:val="0"/>
                  <w:marRight w:val="0"/>
                  <w:marTop w:val="0"/>
                  <w:marBottom w:val="0"/>
                  <w:divBdr>
                    <w:top w:val="none" w:sz="0" w:space="0" w:color="auto"/>
                    <w:left w:val="none" w:sz="0" w:space="0" w:color="auto"/>
                    <w:bottom w:val="none" w:sz="0" w:space="0" w:color="auto"/>
                    <w:right w:val="none" w:sz="0" w:space="0" w:color="auto"/>
                  </w:divBdr>
                  <w:divsChild>
                    <w:div w:id="569923226">
                      <w:marLeft w:val="0"/>
                      <w:marRight w:val="0"/>
                      <w:marTop w:val="0"/>
                      <w:marBottom w:val="0"/>
                      <w:divBdr>
                        <w:top w:val="none" w:sz="0" w:space="0" w:color="auto"/>
                        <w:left w:val="none" w:sz="0" w:space="0" w:color="auto"/>
                        <w:bottom w:val="none" w:sz="0" w:space="0" w:color="auto"/>
                        <w:right w:val="none" w:sz="0" w:space="0" w:color="auto"/>
                      </w:divBdr>
                    </w:div>
                    <w:div w:id="48039228">
                      <w:marLeft w:val="0"/>
                      <w:marRight w:val="0"/>
                      <w:marTop w:val="0"/>
                      <w:marBottom w:val="0"/>
                      <w:divBdr>
                        <w:top w:val="none" w:sz="0" w:space="0" w:color="auto"/>
                        <w:left w:val="none" w:sz="0" w:space="0" w:color="auto"/>
                        <w:bottom w:val="none" w:sz="0" w:space="0" w:color="auto"/>
                        <w:right w:val="none" w:sz="0" w:space="0" w:color="auto"/>
                      </w:divBdr>
                    </w:div>
                    <w:div w:id="905997824">
                      <w:marLeft w:val="0"/>
                      <w:marRight w:val="0"/>
                      <w:marTop w:val="0"/>
                      <w:marBottom w:val="0"/>
                      <w:divBdr>
                        <w:top w:val="none" w:sz="0" w:space="0" w:color="auto"/>
                        <w:left w:val="none" w:sz="0" w:space="0" w:color="auto"/>
                        <w:bottom w:val="none" w:sz="0" w:space="0" w:color="auto"/>
                        <w:right w:val="none" w:sz="0" w:space="0" w:color="auto"/>
                      </w:divBdr>
                    </w:div>
                    <w:div w:id="443119420">
                      <w:marLeft w:val="0"/>
                      <w:marRight w:val="0"/>
                      <w:marTop w:val="0"/>
                      <w:marBottom w:val="0"/>
                      <w:divBdr>
                        <w:top w:val="none" w:sz="0" w:space="0" w:color="auto"/>
                        <w:left w:val="none" w:sz="0" w:space="0" w:color="auto"/>
                        <w:bottom w:val="none" w:sz="0" w:space="0" w:color="auto"/>
                        <w:right w:val="none" w:sz="0" w:space="0" w:color="auto"/>
                      </w:divBdr>
                    </w:div>
                  </w:divsChild>
                </w:div>
                <w:div w:id="1315522050">
                  <w:marLeft w:val="0"/>
                  <w:marRight w:val="0"/>
                  <w:marTop w:val="0"/>
                  <w:marBottom w:val="0"/>
                  <w:divBdr>
                    <w:top w:val="none" w:sz="0" w:space="0" w:color="auto"/>
                    <w:left w:val="none" w:sz="0" w:space="0" w:color="auto"/>
                    <w:bottom w:val="none" w:sz="0" w:space="0" w:color="auto"/>
                    <w:right w:val="none" w:sz="0" w:space="0" w:color="auto"/>
                  </w:divBdr>
                  <w:divsChild>
                    <w:div w:id="910845467">
                      <w:marLeft w:val="0"/>
                      <w:marRight w:val="0"/>
                      <w:marTop w:val="0"/>
                      <w:marBottom w:val="0"/>
                      <w:divBdr>
                        <w:top w:val="none" w:sz="0" w:space="0" w:color="auto"/>
                        <w:left w:val="none" w:sz="0" w:space="0" w:color="auto"/>
                        <w:bottom w:val="none" w:sz="0" w:space="0" w:color="auto"/>
                        <w:right w:val="none" w:sz="0" w:space="0" w:color="auto"/>
                      </w:divBdr>
                    </w:div>
                    <w:div w:id="1199734523">
                      <w:marLeft w:val="0"/>
                      <w:marRight w:val="0"/>
                      <w:marTop w:val="0"/>
                      <w:marBottom w:val="0"/>
                      <w:divBdr>
                        <w:top w:val="none" w:sz="0" w:space="0" w:color="auto"/>
                        <w:left w:val="none" w:sz="0" w:space="0" w:color="auto"/>
                        <w:bottom w:val="none" w:sz="0" w:space="0" w:color="auto"/>
                        <w:right w:val="none" w:sz="0" w:space="0" w:color="auto"/>
                      </w:divBdr>
                    </w:div>
                    <w:div w:id="545675716">
                      <w:marLeft w:val="0"/>
                      <w:marRight w:val="0"/>
                      <w:marTop w:val="0"/>
                      <w:marBottom w:val="0"/>
                      <w:divBdr>
                        <w:top w:val="none" w:sz="0" w:space="0" w:color="auto"/>
                        <w:left w:val="none" w:sz="0" w:space="0" w:color="auto"/>
                        <w:bottom w:val="none" w:sz="0" w:space="0" w:color="auto"/>
                        <w:right w:val="none" w:sz="0" w:space="0" w:color="auto"/>
                      </w:divBdr>
                    </w:div>
                    <w:div w:id="16182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367">
          <w:marLeft w:val="0"/>
          <w:marRight w:val="0"/>
          <w:marTop w:val="0"/>
          <w:marBottom w:val="0"/>
          <w:divBdr>
            <w:top w:val="none" w:sz="0" w:space="0" w:color="auto"/>
            <w:left w:val="none" w:sz="0" w:space="0" w:color="auto"/>
            <w:bottom w:val="none" w:sz="0" w:space="0" w:color="auto"/>
            <w:right w:val="none" w:sz="0" w:space="0" w:color="auto"/>
          </w:divBdr>
        </w:div>
        <w:div w:id="1965578270">
          <w:marLeft w:val="0"/>
          <w:marRight w:val="0"/>
          <w:marTop w:val="0"/>
          <w:marBottom w:val="0"/>
          <w:divBdr>
            <w:top w:val="none" w:sz="0" w:space="0" w:color="auto"/>
            <w:left w:val="none" w:sz="0" w:space="0" w:color="auto"/>
            <w:bottom w:val="none" w:sz="0" w:space="0" w:color="auto"/>
            <w:right w:val="none" w:sz="0" w:space="0" w:color="auto"/>
          </w:divBdr>
        </w:div>
      </w:divsChild>
    </w:div>
    <w:div w:id="18633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tavic.org.au/news-items/policy-position-on-access-to-assistive-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D13D5-0EB5-48F5-98E5-2854FF64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Stitz</dc:creator>
  <cp:keywords/>
  <dc:description/>
  <cp:lastModifiedBy>Lauren Henley</cp:lastModifiedBy>
  <cp:revision>13</cp:revision>
  <dcterms:created xsi:type="dcterms:W3CDTF">2021-09-28T03:52:00Z</dcterms:created>
  <dcterms:modified xsi:type="dcterms:W3CDTF">2021-12-15T21:42:00Z</dcterms:modified>
</cp:coreProperties>
</file>